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华文中宋"/>
          <w:bCs/>
          <w:kern w:val="44"/>
          <w:sz w:val="36"/>
          <w:szCs w:val="36"/>
        </w:rPr>
      </w:pPr>
    </w:p>
    <w:p>
      <w:pPr>
        <w:jc w:val="center"/>
        <w:rPr>
          <w:rFonts w:hint="eastAsia" w:ascii="仿宋_GB2312" w:hAnsi="Times New Roman" w:eastAsia="仿宋_GB2312"/>
          <w:sz w:val="32"/>
          <w:szCs w:val="32"/>
        </w:rPr>
      </w:pPr>
      <w:r>
        <w:rPr>
          <w:rFonts w:hint="eastAsia" w:ascii="Times New Roman" w:hAnsi="Times New Roman" w:eastAsia="华文中宋"/>
          <w:bCs/>
          <w:kern w:val="44"/>
          <w:sz w:val="36"/>
          <w:szCs w:val="36"/>
        </w:rPr>
        <w:t>鹅屠宰肉品品质检验规程</w:t>
      </w:r>
      <w:r>
        <w:rPr>
          <w:rFonts w:hint="eastAsia" w:ascii="Times New Roman" w:hAnsi="Times New Roman" w:eastAsia="华文中宋"/>
          <w:bCs/>
          <w:kern w:val="44"/>
          <w:sz w:val="36"/>
          <w:szCs w:val="36"/>
        </w:rPr>
        <w:br w:type="textWrapping"/>
      </w:r>
      <w:r>
        <w:rPr>
          <w:rFonts w:hint="eastAsia" w:ascii="仿宋_GB2312" w:hAnsi="Times New Roman" w:eastAsia="仿宋_GB2312"/>
          <w:sz w:val="32"/>
          <w:szCs w:val="32"/>
        </w:rPr>
        <w:t>（征求意见稿）</w:t>
      </w:r>
    </w:p>
    <w:p>
      <w:pPr>
        <w:jc w:val="center"/>
        <w:rPr>
          <w:rFonts w:ascii="仿宋_GB2312" w:hAnsi="Times New Roman" w:eastAsia="仿宋_GB2312"/>
          <w:szCs w:val="32"/>
        </w:rPr>
      </w:pPr>
    </w:p>
    <w:p>
      <w:pPr>
        <w:pStyle w:val="136"/>
        <w:rPr>
          <w:rFonts w:ascii="黑体" w:hAnsi="黑体"/>
        </w:rPr>
      </w:pPr>
      <w:r>
        <w:rPr>
          <w:rFonts w:hint="eastAsia" w:ascii="黑体" w:hAnsi="黑体"/>
        </w:rPr>
        <w:t>1 适用范围</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本规程规定了鹅屠宰加工过程中肉品品质检验的内容、程序、方法及处理。</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本规程适用于鹅屠宰的肉品品质检验。</w:t>
      </w:r>
    </w:p>
    <w:p>
      <w:pPr>
        <w:pStyle w:val="136"/>
        <w:rPr>
          <w:rFonts w:ascii="黑体" w:hAnsi="黑体"/>
        </w:rPr>
      </w:pPr>
      <w:r>
        <w:rPr>
          <w:rFonts w:hint="eastAsia" w:ascii="黑体" w:hAnsi="黑体"/>
        </w:rPr>
        <w:t>2 规范性引用文件</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NY/T 3742  畜禽屠宰操作规程 鹅</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当上述标准被修订时，应使用其最新版本。</w:t>
      </w:r>
    </w:p>
    <w:p>
      <w:pPr>
        <w:pStyle w:val="136"/>
        <w:rPr>
          <w:rFonts w:ascii="黑体" w:hAnsi="黑体"/>
        </w:rPr>
      </w:pPr>
      <w:bookmarkStart w:id="0" w:name="_Toc27642819"/>
      <w:bookmarkStart w:id="1" w:name="_Toc27642786"/>
      <w:r>
        <w:rPr>
          <w:rFonts w:hint="eastAsia" w:ascii="黑体" w:hAnsi="黑体"/>
        </w:rPr>
        <w:t>3 术语和定义</w:t>
      </w:r>
      <w:bookmarkEnd w:id="0"/>
      <w:bookmarkEnd w:id="1"/>
    </w:p>
    <w:p>
      <w:pPr>
        <w:pStyle w:val="21"/>
        <w:spacing w:line="360" w:lineRule="auto"/>
        <w:ind w:firstLine="643"/>
        <w:rPr>
          <w:rFonts w:ascii="Times New Roman" w:hAnsi="Times New Roman" w:eastAsia="仿宋_GB2312" w:cs="仿宋"/>
          <w:b/>
          <w:kern w:val="2"/>
          <w:sz w:val="32"/>
          <w:szCs w:val="32"/>
        </w:rPr>
      </w:pPr>
      <w:r>
        <w:rPr>
          <w:rFonts w:hint="eastAsia" w:ascii="Times New Roman" w:hAnsi="Times New Roman" w:eastAsia="仿宋_GB2312" w:cs="仿宋"/>
          <w:b/>
          <w:kern w:val="2"/>
          <w:sz w:val="32"/>
          <w:szCs w:val="32"/>
        </w:rPr>
        <w:t xml:space="preserve">3.1 鹅产品 </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鹅屠宰后未经加工的胴体、内脏、头、爪等。</w:t>
      </w:r>
    </w:p>
    <w:p>
      <w:pPr>
        <w:pStyle w:val="21"/>
        <w:spacing w:line="360" w:lineRule="auto"/>
        <w:ind w:firstLine="643"/>
        <w:rPr>
          <w:rFonts w:ascii="Times New Roman" w:hAnsi="Times New Roman" w:eastAsia="仿宋_GB2312" w:cs="仿宋"/>
          <w:b/>
          <w:kern w:val="2"/>
          <w:sz w:val="32"/>
          <w:szCs w:val="32"/>
        </w:rPr>
      </w:pPr>
      <w:r>
        <w:rPr>
          <w:rFonts w:hint="eastAsia" w:ascii="Times New Roman" w:hAnsi="Times New Roman" w:eastAsia="仿宋_GB2312" w:cs="仿宋"/>
          <w:b/>
          <w:kern w:val="2"/>
          <w:sz w:val="32"/>
          <w:szCs w:val="32"/>
        </w:rPr>
        <w:t>3.2 批次</w:t>
      </w:r>
    </w:p>
    <w:p>
      <w:pPr>
        <w:pStyle w:val="137"/>
      </w:pPr>
      <w:r>
        <w:rPr>
          <w:rFonts w:hint="eastAsia"/>
        </w:rPr>
        <w:t>以来源于同一养殖场且同一时段屠宰的鹅为一批次。</w:t>
      </w:r>
    </w:p>
    <w:p>
      <w:pPr>
        <w:pStyle w:val="21"/>
        <w:spacing w:line="360" w:lineRule="auto"/>
        <w:ind w:firstLine="643"/>
        <w:rPr>
          <w:rFonts w:ascii="Times New Roman" w:hAnsi="Times New Roman" w:eastAsia="仿宋_GB2312" w:cs="仿宋"/>
          <w:b/>
          <w:kern w:val="2"/>
          <w:sz w:val="32"/>
          <w:szCs w:val="32"/>
        </w:rPr>
      </w:pPr>
      <w:r>
        <w:rPr>
          <w:rFonts w:hint="eastAsia" w:ascii="Times New Roman" w:hAnsi="Times New Roman" w:eastAsia="仿宋_GB2312" w:cs="仿宋"/>
          <w:b/>
          <w:kern w:val="2"/>
          <w:sz w:val="32"/>
          <w:szCs w:val="32"/>
        </w:rPr>
        <w:t>3.3 同步检验</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与屠宰操作相对应，将鹅的内脏与胴体在生产线同步运行，由检验人员对照检验和综合判断的一种检验方法。</w:t>
      </w:r>
    </w:p>
    <w:p>
      <w:pPr>
        <w:pStyle w:val="136"/>
        <w:rPr>
          <w:rFonts w:ascii="黑体" w:hAnsi="黑体"/>
        </w:rPr>
      </w:pPr>
      <w:bookmarkStart w:id="2" w:name="_Toc27642820"/>
      <w:bookmarkStart w:id="3" w:name="_Toc27642788"/>
      <w:r>
        <w:rPr>
          <w:rFonts w:hint="eastAsia" w:ascii="黑体" w:hAnsi="黑体"/>
        </w:rPr>
        <w:t>4 肉品品质检验内容</w:t>
      </w:r>
      <w:bookmarkEnd w:id="2"/>
      <w:bookmarkEnd w:id="3"/>
    </w:p>
    <w:p>
      <w:pPr>
        <w:pStyle w:val="21"/>
        <w:spacing w:line="360" w:lineRule="auto"/>
        <w:ind w:firstLine="640"/>
        <w:rPr>
          <w:rFonts w:ascii="Times New Roman" w:hAnsi="Times New Roman" w:eastAsia="仿宋_GB2312"/>
          <w:kern w:val="2"/>
          <w:sz w:val="32"/>
          <w:szCs w:val="32"/>
        </w:rPr>
      </w:pPr>
      <w:bookmarkStart w:id="4" w:name="_Toc27642789"/>
      <w:r>
        <w:rPr>
          <w:rFonts w:hint="eastAsia" w:ascii="Times New Roman" w:hAnsi="Times New Roman" w:eastAsia="仿宋_GB2312"/>
          <w:kern w:val="2"/>
          <w:sz w:val="32"/>
          <w:szCs w:val="32"/>
        </w:rPr>
        <w:t>4.1 鹅健康状况的检查。</w:t>
      </w:r>
      <w:bookmarkEnd w:id="4"/>
    </w:p>
    <w:p>
      <w:pPr>
        <w:pStyle w:val="21"/>
        <w:spacing w:line="360" w:lineRule="auto"/>
        <w:ind w:firstLine="640"/>
        <w:rPr>
          <w:rFonts w:ascii="Times New Roman" w:hAnsi="Times New Roman" w:eastAsia="仿宋_GB2312"/>
          <w:kern w:val="2"/>
          <w:sz w:val="32"/>
          <w:szCs w:val="32"/>
        </w:rPr>
      </w:pPr>
      <w:bookmarkStart w:id="5" w:name="_Toc27642790"/>
      <w:r>
        <w:rPr>
          <w:rFonts w:hint="eastAsia" w:ascii="Times New Roman" w:hAnsi="Times New Roman" w:eastAsia="仿宋_GB2312"/>
          <w:kern w:val="2"/>
          <w:sz w:val="32"/>
          <w:szCs w:val="32"/>
        </w:rPr>
        <w:t>4.2 动物疫病以外的疾病的检验及处理。</w:t>
      </w:r>
      <w:bookmarkEnd w:id="5"/>
    </w:p>
    <w:p>
      <w:pPr>
        <w:pStyle w:val="21"/>
        <w:spacing w:line="360" w:lineRule="auto"/>
        <w:ind w:firstLine="640"/>
        <w:rPr>
          <w:rFonts w:ascii="Times New Roman" w:hAnsi="Times New Roman" w:eastAsia="仿宋_GB2312"/>
          <w:kern w:val="2"/>
          <w:sz w:val="32"/>
          <w:szCs w:val="32"/>
        </w:rPr>
      </w:pPr>
      <w:bookmarkStart w:id="6" w:name="_Toc27642792"/>
      <w:r>
        <w:rPr>
          <w:rFonts w:hint="eastAsia" w:ascii="Times New Roman" w:hAnsi="Times New Roman" w:eastAsia="仿宋_GB2312"/>
          <w:kern w:val="2"/>
          <w:sz w:val="32"/>
          <w:szCs w:val="32"/>
        </w:rPr>
        <w:t>4.3 病变组织的修割及处理。</w:t>
      </w:r>
      <w:bookmarkEnd w:id="6"/>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4.4 食品动物中禁止使用的药品及其他化合物等有毒有害非食品原料的检验及处理。</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4.5 肉品卫生状况的检查及处理。</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4.6 国家规定的其他检验内容。</w:t>
      </w:r>
    </w:p>
    <w:p>
      <w:pPr>
        <w:pStyle w:val="136"/>
        <w:rPr>
          <w:rFonts w:ascii="黑体" w:hAnsi="黑体"/>
        </w:rPr>
      </w:pPr>
      <w:r>
        <w:rPr>
          <w:rFonts w:hint="eastAsia" w:ascii="黑体" w:hAnsi="黑体"/>
        </w:rPr>
        <w:t>5 检验岗位设置及职责</w:t>
      </w:r>
    </w:p>
    <w:p>
      <w:pPr>
        <w:pStyle w:val="21"/>
        <w:spacing w:line="360" w:lineRule="auto"/>
        <w:ind w:firstLine="643"/>
        <w:rPr>
          <w:rFonts w:eastAsia="仿宋_GB2312" w:cs="仿宋"/>
          <w:b/>
          <w:sz w:val="32"/>
          <w:szCs w:val="32"/>
        </w:rPr>
      </w:pPr>
      <w:r>
        <w:rPr>
          <w:rFonts w:hint="eastAsia" w:ascii="Times New Roman" w:eastAsia="仿宋_GB2312" w:cs="仿宋"/>
          <w:b/>
          <w:kern w:val="2"/>
          <w:sz w:val="32"/>
          <w:szCs w:val="32"/>
        </w:rPr>
        <w:t>5</w:t>
      </w:r>
      <w:r>
        <w:rPr>
          <w:rFonts w:ascii="Times New Roman" w:eastAsia="仿宋_GB2312" w:cs="仿宋"/>
          <w:b/>
          <w:kern w:val="2"/>
          <w:sz w:val="32"/>
          <w:szCs w:val="32"/>
        </w:rPr>
        <w:t xml:space="preserve">.1 </w:t>
      </w:r>
      <w:r>
        <w:rPr>
          <w:rFonts w:hint="eastAsia" w:ascii="Times New Roman" w:eastAsia="仿宋_GB2312" w:cs="仿宋"/>
          <w:b/>
          <w:kern w:val="2"/>
          <w:sz w:val="32"/>
          <w:szCs w:val="32"/>
        </w:rPr>
        <w:t>人员要求</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5.1.1 应配备与屠宰规模相适应的兽医卫生检验人员，兽医卫生检验人员应经考核合格。</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5.1.2 未取得健康证明的，不得从事肉品品质检验工作。</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5.1.3 兽医卫生检验人员应协助官方兽医开展屠宰检疫工作。</w:t>
      </w:r>
    </w:p>
    <w:p>
      <w:pPr>
        <w:pStyle w:val="21"/>
        <w:spacing w:line="360" w:lineRule="auto"/>
        <w:ind w:firstLine="643"/>
        <w:rPr>
          <w:rFonts w:ascii="Times New Roman" w:hAnsi="Times New Roman" w:eastAsia="仿宋_GB2312" w:cs="仿宋"/>
          <w:b/>
          <w:kern w:val="2"/>
          <w:sz w:val="32"/>
          <w:szCs w:val="32"/>
        </w:rPr>
      </w:pPr>
      <w:r>
        <w:rPr>
          <w:rFonts w:hint="eastAsia" w:ascii="Times New Roman" w:hAnsi="Times New Roman" w:eastAsia="仿宋_GB2312" w:cs="仿宋"/>
          <w:b/>
          <w:kern w:val="2"/>
          <w:sz w:val="32"/>
          <w:szCs w:val="32"/>
        </w:rPr>
        <w:t>5.2 检验岗位</w:t>
      </w:r>
    </w:p>
    <w:p>
      <w:pPr>
        <w:pStyle w:val="138"/>
      </w:pPr>
      <w:r>
        <w:rPr>
          <w:rFonts w:hint="eastAsia"/>
        </w:rPr>
        <w:t>5</w:t>
      </w:r>
      <w:r>
        <w:t xml:space="preserve">.2.1 </w:t>
      </w:r>
      <w:r>
        <w:rPr>
          <w:rFonts w:hint="eastAsia"/>
        </w:rPr>
        <w:t>基本要求</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应在鹅接收区、待宰区、屠宰车间和实验室的显著位置标识岗位名称和责任人员。</w:t>
      </w:r>
    </w:p>
    <w:p>
      <w:pPr>
        <w:pStyle w:val="138"/>
      </w:pPr>
      <w:r>
        <w:rPr>
          <w:rFonts w:hint="eastAsia"/>
        </w:rPr>
        <w:t>5.2.2 宰前检验岗</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设置在鹅接收区和待宰区；负责宰前接收检验、待宰检验和信息登记等。</w:t>
      </w:r>
    </w:p>
    <w:p>
      <w:pPr>
        <w:pStyle w:val="138"/>
      </w:pPr>
      <w:r>
        <w:rPr>
          <w:rFonts w:hint="eastAsia"/>
        </w:rPr>
        <w:t>5.3 宰后检验岗</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设置在脱羽之后；负责胴体检验、内脏检验、复验。</w:t>
      </w:r>
    </w:p>
    <w:p>
      <w:pPr>
        <w:pStyle w:val="138"/>
      </w:pPr>
      <w:r>
        <w:rPr>
          <w:rFonts w:hint="eastAsia"/>
        </w:rPr>
        <w:t>5.4 疫情报告</w:t>
      </w:r>
    </w:p>
    <w:p>
      <w:pPr>
        <w:pStyle w:val="21"/>
        <w:spacing w:line="360" w:lineRule="auto"/>
        <w:ind w:firstLine="640"/>
        <w:rPr>
          <w:rFonts w:ascii="Times New Roman" w:hAnsi="Times New Roman" w:eastAsia="仿宋_GB2312"/>
          <w:kern w:val="2"/>
          <w:sz w:val="32"/>
          <w:szCs w:val="32"/>
        </w:rPr>
      </w:pPr>
      <w:r>
        <w:rPr>
          <w:rFonts w:ascii="Times New Roman" w:hAnsi="Times New Roman" w:eastAsia="仿宋_GB2312"/>
          <w:kern w:val="2"/>
          <w:sz w:val="32"/>
          <w:szCs w:val="32"/>
        </w:rPr>
        <w:t>在检验中发现</w:t>
      </w:r>
      <w:r>
        <w:rPr>
          <w:rFonts w:hint="eastAsia" w:ascii="Times New Roman" w:hAnsi="Times New Roman" w:eastAsia="仿宋_GB2312"/>
          <w:kern w:val="2"/>
          <w:sz w:val="32"/>
          <w:szCs w:val="32"/>
        </w:rPr>
        <w:t>鹅</w:t>
      </w:r>
      <w:r>
        <w:rPr>
          <w:rFonts w:ascii="Times New Roman" w:hAnsi="Times New Roman" w:eastAsia="仿宋_GB2312"/>
          <w:kern w:val="2"/>
          <w:sz w:val="32"/>
          <w:szCs w:val="32"/>
        </w:rPr>
        <w:t>染疫或疑似染疫的，应立即停止</w:t>
      </w:r>
      <w:r>
        <w:rPr>
          <w:rFonts w:hint="eastAsia" w:ascii="Times New Roman" w:hAnsi="Times New Roman" w:eastAsia="仿宋_GB2312"/>
          <w:kern w:val="2"/>
          <w:sz w:val="32"/>
          <w:szCs w:val="32"/>
        </w:rPr>
        <w:t>屠宰</w:t>
      </w:r>
      <w:r>
        <w:rPr>
          <w:rFonts w:ascii="Times New Roman" w:hAnsi="Times New Roman" w:eastAsia="仿宋_GB2312"/>
          <w:kern w:val="2"/>
          <w:sz w:val="32"/>
          <w:szCs w:val="32"/>
        </w:rPr>
        <w:t>，</w:t>
      </w:r>
      <w:r>
        <w:rPr>
          <w:rFonts w:hint="eastAsia" w:ascii="Times New Roman" w:hAnsi="Times New Roman" w:eastAsia="仿宋_GB2312"/>
          <w:kern w:val="2"/>
          <w:sz w:val="32"/>
          <w:szCs w:val="32"/>
        </w:rPr>
        <w:t>向驻场官方兽医报告，并</w:t>
      </w:r>
      <w:r>
        <w:rPr>
          <w:rFonts w:ascii="Times New Roman" w:hAnsi="Times New Roman" w:eastAsia="仿宋_GB2312"/>
          <w:kern w:val="2"/>
          <w:sz w:val="32"/>
          <w:szCs w:val="32"/>
        </w:rPr>
        <w:t>迅速采取隔离等控制措施。同时，应立即向所在地农业农村主管部门或者动物疫病预防控制机构报告。</w:t>
      </w:r>
      <w:r>
        <w:rPr>
          <w:rFonts w:hint="eastAsia" w:ascii="Times New Roman" w:hAnsi="Times New Roman" w:eastAsia="仿宋_GB2312"/>
          <w:kern w:val="2"/>
          <w:sz w:val="32"/>
          <w:szCs w:val="32"/>
        </w:rPr>
        <w:t xml:space="preserve">发生动物疫情时，应按照国家规定开展动物疫病检测。                                                          </w:t>
      </w:r>
    </w:p>
    <w:p>
      <w:pPr>
        <w:pStyle w:val="136"/>
        <w:rPr>
          <w:rFonts w:ascii="黑体" w:hAnsi="黑体"/>
        </w:rPr>
      </w:pPr>
      <w:r>
        <w:rPr>
          <w:rFonts w:hint="eastAsia" w:ascii="黑体" w:hAnsi="黑体"/>
        </w:rPr>
        <w:t>6 宰前检验及处理</w:t>
      </w:r>
    </w:p>
    <w:p>
      <w:pPr>
        <w:pStyle w:val="138"/>
      </w:pPr>
      <w:r>
        <w:rPr>
          <w:rFonts w:hint="eastAsia"/>
        </w:rPr>
        <w:t>6.1  接收及待宰检验</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 xml:space="preserve">6.1.1 </w:t>
      </w:r>
      <w:r>
        <w:rPr>
          <w:rFonts w:ascii="Times New Roman" w:hAnsi="Times New Roman" w:eastAsia="仿宋_GB2312"/>
          <w:kern w:val="2"/>
          <w:sz w:val="32"/>
          <w:szCs w:val="32"/>
        </w:rPr>
        <w:t>查验检疫证明，记录每批进厂</w:t>
      </w:r>
      <w:r>
        <w:rPr>
          <w:rFonts w:hint="eastAsia" w:ascii="Times New Roman" w:hAnsi="Times New Roman" w:eastAsia="仿宋_GB2312"/>
          <w:kern w:val="2"/>
          <w:sz w:val="32"/>
          <w:szCs w:val="32"/>
        </w:rPr>
        <w:t>鹅</w:t>
      </w:r>
      <w:r>
        <w:rPr>
          <w:rFonts w:ascii="Times New Roman" w:hAnsi="Times New Roman" w:eastAsia="仿宋_GB2312"/>
          <w:kern w:val="2"/>
          <w:sz w:val="32"/>
          <w:szCs w:val="32"/>
        </w:rPr>
        <w:t>的来源、数量、</w:t>
      </w:r>
      <w:r>
        <w:rPr>
          <w:rFonts w:hint="eastAsia" w:ascii="Times New Roman" w:hAnsi="Times New Roman" w:eastAsia="仿宋_GB2312"/>
          <w:kern w:val="2"/>
          <w:sz w:val="32"/>
          <w:szCs w:val="32"/>
        </w:rPr>
        <w:t>检疫证明号和供货</w:t>
      </w:r>
      <w:r>
        <w:rPr>
          <w:rFonts w:ascii="Times New Roman" w:hAnsi="Times New Roman" w:eastAsia="仿宋_GB2312"/>
          <w:kern w:val="2"/>
          <w:sz w:val="32"/>
          <w:szCs w:val="32"/>
        </w:rPr>
        <w:t>者名称、地址、联系方式等内容，并经临车观察，未见异常，方可准予卸载。</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6.1.2 采取整车检查和待宰区定期巡查的方式进行群体检查，对鹅群的状态进行观察，如发现精神萎靡、伏卧不动、呼吸困难以及体型弱小等异常现象，应进行个体检查。</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6.1.3 个体检查包括检查口腔有无过多分泌物；检查呼吸状态，注意有无咳喘；检查嗉</w:t>
      </w:r>
      <w:r>
        <w:rPr>
          <w:rFonts w:hint="eastAsia" w:ascii="Times New Roman" w:hAnsi="Times New Roman" w:eastAsia="仿宋_GB2312"/>
          <w:kern w:val="2"/>
          <w:sz w:val="32"/>
          <w:szCs w:val="32"/>
          <w:lang w:eastAsia="zh-CN"/>
        </w:rPr>
        <w:t>囊</w:t>
      </w:r>
      <w:r>
        <w:rPr>
          <w:rFonts w:hint="eastAsia" w:ascii="Times New Roman" w:hAnsi="Times New Roman" w:eastAsia="仿宋_GB2312"/>
          <w:kern w:val="2"/>
          <w:sz w:val="32"/>
          <w:szCs w:val="32"/>
        </w:rPr>
        <w:t>的充实程度及内容物的性质；检查关节，验证有无肿大积液、骨折现象；检查羽毛是否清洁、紧密，有无光泽，肛门附近有无粪污与潮湿</w:t>
      </w:r>
      <w:bookmarkStart w:id="7" w:name="_GoBack"/>
      <w:bookmarkEnd w:id="7"/>
      <w:r>
        <w:rPr>
          <w:rFonts w:hint="eastAsia" w:ascii="Times New Roman" w:hAnsi="Times New Roman" w:eastAsia="仿宋_GB2312"/>
          <w:kern w:val="2"/>
          <w:sz w:val="32"/>
          <w:szCs w:val="32"/>
        </w:rPr>
        <w:t>；检查皮肤是否有外伤、结节、肿块，必要时检查体温。</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6.1.4 检查停食静养是否符合NY/T 3742的要求。</w:t>
      </w:r>
    </w:p>
    <w:p>
      <w:pPr>
        <w:pStyle w:val="21"/>
        <w:spacing w:line="360" w:lineRule="auto"/>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6.1.5 在接收检验或宰后检验环节开展有毒有害非食品原料的筛查。对于筛查疑似阳性样品，应及时按国家标准检测方法进行确证，确证检测结果不合格的，应按规定进行无害化处理。同时，对同批鹅扩大检测范围，合格的准予屠宰，产品准予放行，不合格的进行无害化处理。</w:t>
      </w:r>
    </w:p>
    <w:p>
      <w:pPr>
        <w:pStyle w:val="138"/>
      </w:pPr>
      <w:r>
        <w:rPr>
          <w:rFonts w:hint="eastAsia"/>
        </w:rPr>
        <w:t>6.2 宰前检验结果处理</w:t>
      </w:r>
    </w:p>
    <w:p>
      <w:pPr>
        <w:pStyle w:val="136"/>
        <w:adjustRightInd w:val="0"/>
        <w:snapToGrid w:val="0"/>
        <w:rPr>
          <w:rFonts w:eastAsia="仿宋_GB2312" w:cs="Times New Roman"/>
        </w:rPr>
      </w:pPr>
      <w:r>
        <w:rPr>
          <w:rFonts w:hint="eastAsia" w:eastAsia="仿宋_GB2312" w:cs="Times New Roman"/>
        </w:rPr>
        <w:t>6.2.1 确认合格的，准予屠宰。</w:t>
      </w:r>
    </w:p>
    <w:p>
      <w:pPr>
        <w:pStyle w:val="136"/>
        <w:adjustRightInd w:val="0"/>
        <w:snapToGrid w:val="0"/>
        <w:rPr>
          <w:rFonts w:eastAsia="仿宋_GB2312" w:cs="Times New Roman"/>
        </w:rPr>
      </w:pPr>
      <w:r>
        <w:rPr>
          <w:rFonts w:hint="eastAsia" w:eastAsia="仿宋_GB2312" w:cs="Times New Roman"/>
        </w:rPr>
        <w:t>6.2.2 未附有动物检疫证明、货证不符的，不得屠宰，报告农业农村主管部门做进一步处理。</w:t>
      </w:r>
    </w:p>
    <w:p>
      <w:pPr>
        <w:pStyle w:val="136"/>
        <w:adjustRightInd w:val="0"/>
        <w:snapToGrid w:val="0"/>
        <w:rPr>
          <w:rFonts w:eastAsia="仿宋_GB2312" w:cs="Times New Roman"/>
        </w:rPr>
      </w:pPr>
      <w:r>
        <w:rPr>
          <w:rFonts w:hint="eastAsia" w:eastAsia="仿宋_GB2312" w:cs="Times New Roman"/>
        </w:rPr>
        <w:t>6.2.3 个体检查中确诊为非传染病引起的，且仅限于局部病变的，准予送宰。</w:t>
      </w:r>
    </w:p>
    <w:p>
      <w:pPr>
        <w:pStyle w:val="136"/>
        <w:adjustRightInd w:val="0"/>
        <w:snapToGrid w:val="0"/>
        <w:rPr>
          <w:rFonts w:eastAsia="仿宋_GB2312" w:cs="Times New Roman"/>
        </w:rPr>
      </w:pPr>
      <w:r>
        <w:rPr>
          <w:rFonts w:hint="eastAsia" w:eastAsia="仿宋_GB2312" w:cs="Times New Roman"/>
        </w:rPr>
        <w:t>6.2.4 死鹅及个体检查中存在全身性疾病的应进行无害化处理。</w:t>
      </w:r>
    </w:p>
    <w:p>
      <w:pPr>
        <w:pStyle w:val="136"/>
        <w:rPr>
          <w:rFonts w:ascii="黑体" w:hAnsi="黑体"/>
        </w:rPr>
      </w:pPr>
      <w:r>
        <w:rPr>
          <w:rFonts w:hint="eastAsia" w:ascii="黑体" w:hAnsi="黑体"/>
        </w:rPr>
        <w:t>7 宰后检验及处理</w:t>
      </w:r>
    </w:p>
    <w:p>
      <w:pPr>
        <w:pStyle w:val="138"/>
      </w:pPr>
      <w:r>
        <w:rPr>
          <w:rFonts w:hint="eastAsia"/>
        </w:rPr>
        <w:t>7.1 基本要求</w:t>
      </w:r>
    </w:p>
    <w:p>
      <w:pPr>
        <w:pStyle w:val="136"/>
        <w:adjustRightInd w:val="0"/>
        <w:snapToGrid w:val="0"/>
        <w:rPr>
          <w:rFonts w:eastAsia="仿宋_GB2312" w:cs="Times New Roman"/>
        </w:rPr>
      </w:pPr>
      <w:r>
        <w:rPr>
          <w:rFonts w:hint="eastAsia" w:eastAsia="仿宋_GB2312" w:cs="Times New Roman"/>
        </w:rPr>
        <w:t>7.1.1 宰后应实施同步检验，对鹅逐只进行胴体检验、内脏检验和复验。</w:t>
      </w:r>
    </w:p>
    <w:p>
      <w:pPr>
        <w:pStyle w:val="136"/>
        <w:adjustRightInd w:val="0"/>
        <w:snapToGrid w:val="0"/>
        <w:rPr>
          <w:rFonts w:eastAsia="仿宋_GB2312" w:cs="Times New Roman"/>
        </w:rPr>
      </w:pPr>
      <w:r>
        <w:rPr>
          <w:rFonts w:hint="eastAsia" w:eastAsia="仿宋_GB2312" w:cs="Times New Roman"/>
        </w:rPr>
        <w:t>7.1.2 在宰后检验发现病变组织时，确诊为非疫病引起的，应修割。</w:t>
      </w:r>
    </w:p>
    <w:p>
      <w:pPr>
        <w:pStyle w:val="138"/>
      </w:pPr>
      <w:r>
        <w:rPr>
          <w:rFonts w:hint="eastAsia"/>
        </w:rPr>
        <w:t>7.2 胴体检验</w:t>
      </w:r>
    </w:p>
    <w:p>
      <w:pPr>
        <w:pStyle w:val="136"/>
        <w:adjustRightInd w:val="0"/>
        <w:snapToGrid w:val="0"/>
        <w:rPr>
          <w:rFonts w:eastAsia="仿宋_GB2312" w:cs="Times New Roman"/>
        </w:rPr>
      </w:pPr>
      <w:r>
        <w:rPr>
          <w:rFonts w:hint="eastAsia" w:eastAsia="仿宋_GB2312" w:cs="Times New Roman"/>
        </w:rPr>
        <w:t>7.2.1 检查有无发育不良、过度瘠瘦的状况。</w:t>
      </w:r>
    </w:p>
    <w:p>
      <w:pPr>
        <w:pStyle w:val="136"/>
        <w:adjustRightInd w:val="0"/>
        <w:snapToGrid w:val="0"/>
        <w:rPr>
          <w:rFonts w:eastAsia="仿宋_GB2312" w:cs="Times New Roman"/>
        </w:rPr>
      </w:pPr>
      <w:r>
        <w:rPr>
          <w:rFonts w:hint="eastAsia" w:eastAsia="仿宋_GB2312" w:cs="Times New Roman"/>
        </w:rPr>
        <w:t>7.2.2 观察脱羽后的胴体表面是否干净，有无羽毛附着，有无烫伤、烫老和机械损伤等质量状况。</w:t>
      </w:r>
    </w:p>
    <w:p>
      <w:pPr>
        <w:pStyle w:val="136"/>
        <w:adjustRightInd w:val="0"/>
        <w:snapToGrid w:val="0"/>
        <w:rPr>
          <w:rFonts w:eastAsia="仿宋_GB2312" w:cs="Times New Roman"/>
        </w:rPr>
      </w:pPr>
      <w:r>
        <w:rPr>
          <w:rFonts w:hint="eastAsia" w:eastAsia="仿宋_GB2312" w:cs="Times New Roman"/>
        </w:rPr>
        <w:t>7.2.3 检查头部的喙与肉瘤、眼睑、鼻腔、口腔无出血、水肿、结痂、溃疡及形态有无异常等。</w:t>
      </w:r>
    </w:p>
    <w:p>
      <w:pPr>
        <w:pStyle w:val="136"/>
        <w:adjustRightInd w:val="0"/>
        <w:snapToGrid w:val="0"/>
        <w:rPr>
          <w:rFonts w:eastAsia="仿宋_GB2312" w:cs="Times New Roman"/>
        </w:rPr>
      </w:pPr>
      <w:r>
        <w:rPr>
          <w:rFonts w:hint="eastAsia" w:eastAsia="仿宋_GB2312" w:cs="Times New Roman"/>
        </w:rPr>
        <w:t>7.2.4 检查胫、趾和蹼、关节、蹼底部有无出血、淤血、增生、肿大、肿物、结痂、溃疡等异常情况。</w:t>
      </w:r>
    </w:p>
    <w:p>
      <w:pPr>
        <w:pStyle w:val="136"/>
        <w:adjustRightInd w:val="0"/>
        <w:snapToGrid w:val="0"/>
        <w:rPr>
          <w:rFonts w:eastAsia="仿宋_GB2312" w:cs="Times New Roman"/>
        </w:rPr>
      </w:pPr>
      <w:r>
        <w:rPr>
          <w:rFonts w:hint="eastAsia" w:eastAsia="仿宋_GB2312" w:cs="Times New Roman"/>
        </w:rPr>
        <w:t>7.2.5 检查胴体形状、颜色、气味是否正常，有无肿胀、内外伤、脓疱等。</w:t>
      </w:r>
    </w:p>
    <w:p>
      <w:pPr>
        <w:pStyle w:val="136"/>
        <w:adjustRightInd w:val="0"/>
        <w:snapToGrid w:val="0"/>
        <w:rPr>
          <w:rFonts w:eastAsia="仿宋_GB2312" w:cs="Times New Roman"/>
        </w:rPr>
      </w:pPr>
      <w:r>
        <w:rPr>
          <w:rFonts w:hint="eastAsia" w:eastAsia="仿宋_GB2312" w:cs="Times New Roman"/>
        </w:rPr>
        <w:t>7.2.6 检查体腔内部清洁程度和完整度。检查体腔内壁有无凝血块、粪便和胆汁污染、肿胀、脓肿等。</w:t>
      </w:r>
    </w:p>
    <w:p>
      <w:pPr>
        <w:pStyle w:val="138"/>
      </w:pPr>
      <w:r>
        <w:rPr>
          <w:rFonts w:hint="eastAsia"/>
        </w:rPr>
        <w:t>7.3 内脏检验</w:t>
      </w:r>
    </w:p>
    <w:p>
      <w:pPr>
        <w:pStyle w:val="136"/>
        <w:adjustRightInd w:val="0"/>
        <w:snapToGrid w:val="0"/>
        <w:rPr>
          <w:rFonts w:eastAsia="仿宋_GB2312" w:cs="Times New Roman"/>
        </w:rPr>
      </w:pPr>
      <w:r>
        <w:rPr>
          <w:rFonts w:hint="eastAsia" w:eastAsia="仿宋_GB2312" w:cs="Times New Roman"/>
        </w:rPr>
        <w:t>7.3.1 检查心包和心外膜有无炎症变化等，心冠状沟、心外膜有无出血点、坏死灶、结节等。</w:t>
      </w:r>
    </w:p>
    <w:p>
      <w:pPr>
        <w:pStyle w:val="136"/>
        <w:adjustRightInd w:val="0"/>
        <w:snapToGrid w:val="0"/>
        <w:rPr>
          <w:rFonts w:eastAsia="仿宋_GB2312" w:cs="Times New Roman"/>
        </w:rPr>
      </w:pPr>
      <w:r>
        <w:rPr>
          <w:rFonts w:hint="eastAsia" w:eastAsia="仿宋_GB2312" w:cs="Times New Roman"/>
        </w:rPr>
        <w:t>7.3.2 检查肺脏有无出血、淤血、硬变等。</w:t>
      </w:r>
    </w:p>
    <w:p>
      <w:pPr>
        <w:pStyle w:val="136"/>
        <w:adjustRightInd w:val="0"/>
        <w:snapToGrid w:val="0"/>
        <w:rPr>
          <w:rFonts w:eastAsia="仿宋_GB2312" w:cs="Times New Roman"/>
        </w:rPr>
      </w:pPr>
      <w:r>
        <w:rPr>
          <w:rFonts w:hint="eastAsia" w:eastAsia="仿宋_GB2312" w:cs="Times New Roman"/>
        </w:rPr>
        <w:t>7.3.3 检查肝脏形状、大小、色泽及有无出血、坏死灶、结节、肿物等。</w:t>
      </w:r>
    </w:p>
    <w:p>
      <w:pPr>
        <w:pStyle w:val="136"/>
        <w:adjustRightInd w:val="0"/>
        <w:snapToGrid w:val="0"/>
        <w:rPr>
          <w:rFonts w:eastAsia="仿宋_GB2312" w:cs="Times New Roman"/>
        </w:rPr>
      </w:pPr>
      <w:r>
        <w:rPr>
          <w:rFonts w:hint="eastAsia" w:eastAsia="仿宋_GB2312" w:cs="Times New Roman"/>
        </w:rPr>
        <w:t>7.3.4 检查肾脏有无肿大、出血、苍白、尿酸盐沉积、结节等。</w:t>
      </w:r>
    </w:p>
    <w:p>
      <w:pPr>
        <w:pStyle w:val="136"/>
        <w:adjustRightInd w:val="0"/>
        <w:snapToGrid w:val="0"/>
        <w:rPr>
          <w:rFonts w:eastAsia="仿宋_GB2312" w:cs="Times New Roman"/>
        </w:rPr>
      </w:pPr>
      <w:r>
        <w:rPr>
          <w:rFonts w:hint="eastAsia" w:eastAsia="仿宋_GB2312" w:cs="Times New Roman"/>
        </w:rPr>
        <w:t>7.3.5 检查腺胃和肌胃浆膜面有无异常。必要时剖开腺胃，检查腺胃黏膜和乳头有无肿大、淤血、出血、坏死灶和溃疡等；必要时切开肌胃，剥离角质膜，检查肌层内表面有无出血、溃疡等。</w:t>
      </w:r>
    </w:p>
    <w:p>
      <w:pPr>
        <w:pStyle w:val="136"/>
        <w:adjustRightInd w:val="0"/>
        <w:snapToGrid w:val="0"/>
        <w:rPr>
          <w:rFonts w:eastAsia="仿宋_GB2312" w:cs="Times New Roman"/>
        </w:rPr>
      </w:pPr>
      <w:r>
        <w:rPr>
          <w:rFonts w:hint="eastAsia" w:eastAsia="仿宋_GB2312" w:cs="Times New Roman"/>
        </w:rPr>
        <w:t>7.3.6 检查肠道浆膜有无异常。必要时剖开肠道，检查小肠黏膜有无淤血、出血、炎性分泌物和坏死灶等。</w:t>
      </w:r>
    </w:p>
    <w:p>
      <w:pPr>
        <w:pStyle w:val="138"/>
      </w:pPr>
      <w:r>
        <w:rPr>
          <w:rFonts w:hint="eastAsia"/>
        </w:rPr>
        <w:t>7.4 复验</w:t>
      </w:r>
    </w:p>
    <w:p>
      <w:pPr>
        <w:pStyle w:val="136"/>
        <w:adjustRightInd w:val="0"/>
        <w:snapToGrid w:val="0"/>
        <w:rPr>
          <w:rFonts w:eastAsia="仿宋_GB2312" w:cs="Times New Roman"/>
        </w:rPr>
      </w:pPr>
      <w:r>
        <w:rPr>
          <w:rFonts w:hint="eastAsia" w:eastAsia="仿宋_GB2312" w:cs="Times New Roman"/>
        </w:rPr>
        <w:t>7.4.1 对胴体全面检验，检查病变组织、异物等是否修整干净。</w:t>
      </w:r>
    </w:p>
    <w:p>
      <w:pPr>
        <w:pStyle w:val="136"/>
        <w:adjustRightInd w:val="0"/>
        <w:snapToGrid w:val="0"/>
        <w:rPr>
          <w:rFonts w:eastAsia="仿宋_GB2312" w:cs="Times New Roman"/>
        </w:rPr>
      </w:pPr>
      <w:r>
        <w:rPr>
          <w:rFonts w:hint="eastAsia" w:eastAsia="仿宋_GB2312" w:cs="Times New Roman"/>
        </w:rPr>
        <w:t>7.4.2 确认合格的，准予出厂。</w:t>
      </w:r>
    </w:p>
    <w:p>
      <w:pPr>
        <w:pStyle w:val="136"/>
        <w:adjustRightInd w:val="0"/>
        <w:snapToGrid w:val="0"/>
        <w:rPr>
          <w:rFonts w:eastAsia="仿宋_GB2312" w:cs="Times New Roman"/>
        </w:rPr>
      </w:pPr>
      <w:r>
        <w:rPr>
          <w:rFonts w:hint="eastAsia" w:eastAsia="仿宋_GB2312" w:cs="Times New Roman"/>
        </w:rPr>
        <w:t>7.4.3 颜色、气味等异常肉，单独挑出，放入带有相应处理标识的容器内。</w:t>
      </w:r>
    </w:p>
    <w:p>
      <w:pPr>
        <w:pStyle w:val="136"/>
        <w:adjustRightInd w:val="0"/>
        <w:snapToGrid w:val="0"/>
        <w:rPr>
          <w:rFonts w:eastAsia="仿宋_GB2312" w:cs="Times New Roman"/>
        </w:rPr>
      </w:pPr>
      <w:r>
        <w:rPr>
          <w:rFonts w:hint="eastAsia" w:eastAsia="仿宋_GB2312" w:cs="Times New Roman"/>
        </w:rPr>
        <w:t>7.4.4 确认不合格的，放入带有无害化处理标识的专用容器内。</w:t>
      </w:r>
    </w:p>
    <w:p>
      <w:pPr>
        <w:pStyle w:val="138"/>
      </w:pPr>
      <w:r>
        <w:rPr>
          <w:rFonts w:hint="eastAsia"/>
        </w:rPr>
        <w:t>7.5 宰后检验结果处理</w:t>
      </w:r>
    </w:p>
    <w:p>
      <w:pPr>
        <w:pStyle w:val="136"/>
        <w:adjustRightInd w:val="0"/>
        <w:snapToGrid w:val="0"/>
        <w:rPr>
          <w:rFonts w:eastAsia="仿宋_GB2312" w:cs="Times New Roman"/>
        </w:rPr>
      </w:pPr>
      <w:r>
        <w:rPr>
          <w:rFonts w:hint="eastAsia" w:eastAsia="仿宋_GB2312" w:cs="Times New Roman"/>
        </w:rPr>
        <w:t>7.5.1 鹅产品落地以及屠宰过程中受到肠胃内容物、脓包等污染的，应进行清洗。</w:t>
      </w:r>
    </w:p>
    <w:p>
      <w:pPr>
        <w:pStyle w:val="136"/>
        <w:adjustRightInd w:val="0"/>
        <w:snapToGrid w:val="0"/>
        <w:rPr>
          <w:rFonts w:eastAsia="仿宋_GB2312" w:cs="Times New Roman"/>
        </w:rPr>
      </w:pPr>
      <w:r>
        <w:rPr>
          <w:rFonts w:hint="eastAsia" w:eastAsia="仿宋_GB2312" w:cs="Times New Roman"/>
        </w:rPr>
        <w:t>7.5.2 胴体局部结痂或炎症、骨折、淤血以及胆汁污染的，应当进行修割，修割下的部分应做无害化处理。</w:t>
      </w:r>
    </w:p>
    <w:p>
      <w:pPr>
        <w:pStyle w:val="136"/>
        <w:adjustRightInd w:val="0"/>
        <w:snapToGrid w:val="0"/>
        <w:rPr>
          <w:rFonts w:eastAsia="仿宋_GB2312" w:cs="Times New Roman"/>
        </w:rPr>
      </w:pPr>
      <w:r>
        <w:rPr>
          <w:rFonts w:hint="eastAsia" w:eastAsia="仿宋_GB2312" w:cs="Times New Roman"/>
        </w:rPr>
        <w:t>7.5.3 单个内脏存在出血、淤血、坏死灶、溃疡、结节等病变的，对单个内脏进行摘除后无害化处理；多个内脏同时存在较大范围的出血、淤血、坏死灶、溃疡、肿瘤等病变的，排除非传染病引起的，整只鹅应做无害化处理。</w:t>
      </w:r>
    </w:p>
    <w:p>
      <w:pPr>
        <w:pStyle w:val="136"/>
        <w:adjustRightInd w:val="0"/>
        <w:snapToGrid w:val="0"/>
        <w:rPr>
          <w:rFonts w:eastAsia="仿宋_GB2312" w:cs="Times New Roman"/>
        </w:rPr>
      </w:pPr>
      <w:r>
        <w:rPr>
          <w:rFonts w:hint="eastAsia" w:eastAsia="仿宋_GB2312" w:cs="Times New Roman"/>
        </w:rPr>
        <w:t>7.5.4 胴体内皮肤或肌肉全部呈现明显的颜色异常、皮肤上较多结痂、脓肿或炎性病灶；胴体气味异常、体腔内积水、多个肿瘤、内脏过度粘连等异常，呈现全身性疾病的，整只鹅应做无害化处理。</w:t>
      </w:r>
    </w:p>
    <w:p>
      <w:pPr>
        <w:pStyle w:val="136"/>
        <w:adjustRightInd w:val="0"/>
        <w:snapToGrid w:val="0"/>
        <w:rPr>
          <w:rFonts w:eastAsia="仿宋_GB2312" w:cs="Times New Roman"/>
        </w:rPr>
      </w:pPr>
      <w:r>
        <w:rPr>
          <w:rFonts w:hint="eastAsia" w:eastAsia="仿宋_GB2312" w:cs="Times New Roman"/>
        </w:rPr>
        <w:t>7.5.5 发育不良、过度瘠瘦的胴体，应做非食用处理。</w:t>
      </w:r>
    </w:p>
    <w:p>
      <w:pPr>
        <w:pStyle w:val="136"/>
        <w:rPr>
          <w:rFonts w:ascii="黑体" w:hAnsi="黑体"/>
        </w:rPr>
      </w:pPr>
      <w:r>
        <w:rPr>
          <w:rFonts w:hint="eastAsia" w:ascii="黑体" w:hAnsi="黑体"/>
        </w:rPr>
        <w:t>8 证章标志</w:t>
      </w:r>
    </w:p>
    <w:p>
      <w:pPr>
        <w:pStyle w:val="136"/>
        <w:adjustRightInd w:val="0"/>
        <w:snapToGrid w:val="0"/>
        <w:rPr>
          <w:rFonts w:eastAsia="仿宋_GB2312" w:cs="Times New Roman"/>
        </w:rPr>
      </w:pPr>
      <w:r>
        <w:rPr>
          <w:rFonts w:hint="eastAsia" w:eastAsia="仿宋_GB2312" w:cs="Times New Roman"/>
        </w:rPr>
        <w:t>肉品品质</w:t>
      </w:r>
      <w:r>
        <w:rPr>
          <w:rFonts w:eastAsia="仿宋_GB2312" w:cs="Times New Roman"/>
        </w:rPr>
        <w:t>检验</w:t>
      </w:r>
      <w:r>
        <w:rPr>
          <w:rFonts w:hint="eastAsia" w:eastAsia="仿宋_GB2312" w:cs="Times New Roman"/>
        </w:rPr>
        <w:t>合格证、</w:t>
      </w:r>
      <w:r>
        <w:rPr>
          <w:rFonts w:eastAsia="仿宋_GB2312" w:cs="Times New Roman"/>
        </w:rPr>
        <w:t>标</w:t>
      </w:r>
      <w:r>
        <w:rPr>
          <w:rFonts w:hint="eastAsia" w:eastAsia="仿宋_GB2312" w:cs="Times New Roman"/>
        </w:rPr>
        <w:t>识的</w:t>
      </w:r>
      <w:r>
        <w:rPr>
          <w:rFonts w:eastAsia="仿宋_GB2312" w:cs="Times New Roman"/>
        </w:rPr>
        <w:t>式样</w:t>
      </w:r>
      <w:r>
        <w:rPr>
          <w:rFonts w:hint="eastAsia" w:eastAsia="仿宋_GB2312" w:cs="Times New Roman"/>
        </w:rPr>
        <w:t>和使用要求</w:t>
      </w:r>
      <w:r>
        <w:rPr>
          <w:rFonts w:eastAsia="仿宋_GB2312" w:cs="Times New Roman"/>
        </w:rPr>
        <w:t>等按照国务院农业农村主管部门的规定执行。</w:t>
      </w:r>
    </w:p>
    <w:p>
      <w:pPr>
        <w:pStyle w:val="136"/>
        <w:rPr>
          <w:rFonts w:ascii="黑体" w:hAnsi="黑体"/>
        </w:rPr>
      </w:pPr>
      <w:r>
        <w:rPr>
          <w:rFonts w:hint="eastAsia" w:ascii="黑体" w:hAnsi="黑体"/>
        </w:rPr>
        <w:t>9 检验结果记录</w:t>
      </w:r>
    </w:p>
    <w:p>
      <w:pPr>
        <w:pStyle w:val="136"/>
        <w:adjustRightInd w:val="0"/>
        <w:snapToGrid w:val="0"/>
        <w:rPr>
          <w:rFonts w:eastAsia="仿宋_GB2312" w:cs="Times New Roman"/>
        </w:rPr>
      </w:pPr>
      <w:r>
        <w:rPr>
          <w:rFonts w:eastAsia="仿宋_GB2312" w:cs="Times New Roman"/>
        </w:rPr>
        <w:t>应及时记录检验结果</w:t>
      </w:r>
      <w:r>
        <w:rPr>
          <w:rFonts w:hint="eastAsia" w:eastAsia="仿宋_GB2312" w:cs="Times New Roman"/>
        </w:rPr>
        <w:t>和不合格鹅产品处理情况</w:t>
      </w:r>
      <w:r>
        <w:rPr>
          <w:rFonts w:eastAsia="仿宋_GB2312" w:cs="Times New Roman"/>
        </w:rPr>
        <w:t>。检验记录保存</w:t>
      </w:r>
      <w:r>
        <w:rPr>
          <w:rFonts w:hint="eastAsia" w:eastAsia="仿宋_GB2312" w:cs="Times New Roman"/>
        </w:rPr>
        <w:t>期限不得少于</w:t>
      </w:r>
      <w:r>
        <w:rPr>
          <w:rFonts w:eastAsia="仿宋_GB2312" w:cs="Times New Roman"/>
        </w:rPr>
        <w:t>2</w:t>
      </w:r>
      <w:r>
        <w:rPr>
          <w:rFonts w:hint="eastAsia" w:eastAsia="仿宋_GB2312" w:cs="Times New Roman"/>
        </w:rPr>
        <w:t>年</w:t>
      </w:r>
      <w:r>
        <w:rPr>
          <w:rFonts w:eastAsia="仿宋_GB2312" w:cs="Times New Roman"/>
        </w:rPr>
        <w:t>。</w:t>
      </w:r>
    </w:p>
    <w:sectPr>
      <w:footerReference r:id="rId3" w:type="default"/>
      <w:pgSz w:w="11906" w:h="16838"/>
      <w:pgMar w:top="1440" w:right="1797" w:bottom="1440" w:left="1797"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fldChar w:fldCharType="begin"/>
    </w:r>
    <w:r>
      <w:instrText xml:space="preserve"> PAGE  \* MERGEFORMAT </w:instrText>
    </w:r>
    <w:r>
      <w:fldChar w:fldCharType="separate"/>
    </w:r>
    <w: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OGY3MTdjMjAxZDViNGNjZGJlY2FiNWIwYzlmMjcifQ=="/>
    <w:docVar w:name="KGWebUrl" w:val="https://oa.cadc.net.cn:443/seeyon/officeservlet"/>
  </w:docVars>
  <w:rsids>
    <w:rsidRoot w:val="00035925"/>
    <w:rsid w:val="00000244"/>
    <w:rsid w:val="0000185F"/>
    <w:rsid w:val="0000586F"/>
    <w:rsid w:val="00013D86"/>
    <w:rsid w:val="00013E02"/>
    <w:rsid w:val="0002143C"/>
    <w:rsid w:val="00025A65"/>
    <w:rsid w:val="00026C31"/>
    <w:rsid w:val="00027280"/>
    <w:rsid w:val="000320A7"/>
    <w:rsid w:val="00035925"/>
    <w:rsid w:val="000361C5"/>
    <w:rsid w:val="00036B0F"/>
    <w:rsid w:val="0004715E"/>
    <w:rsid w:val="000547E6"/>
    <w:rsid w:val="00067CDF"/>
    <w:rsid w:val="00074FBE"/>
    <w:rsid w:val="00083A09"/>
    <w:rsid w:val="0009005E"/>
    <w:rsid w:val="00092857"/>
    <w:rsid w:val="000A20A9"/>
    <w:rsid w:val="000A48B1"/>
    <w:rsid w:val="000B3143"/>
    <w:rsid w:val="000C6B05"/>
    <w:rsid w:val="000C6DD6"/>
    <w:rsid w:val="000C73D4"/>
    <w:rsid w:val="000D2CF3"/>
    <w:rsid w:val="000D3D4C"/>
    <w:rsid w:val="000D4F51"/>
    <w:rsid w:val="000D718B"/>
    <w:rsid w:val="000E0C46"/>
    <w:rsid w:val="000F030C"/>
    <w:rsid w:val="000F129C"/>
    <w:rsid w:val="000F15E7"/>
    <w:rsid w:val="00102C86"/>
    <w:rsid w:val="001056DE"/>
    <w:rsid w:val="001124C0"/>
    <w:rsid w:val="00116253"/>
    <w:rsid w:val="00125F32"/>
    <w:rsid w:val="0013175F"/>
    <w:rsid w:val="00140C41"/>
    <w:rsid w:val="001512B4"/>
    <w:rsid w:val="001620A5"/>
    <w:rsid w:val="00164E53"/>
    <w:rsid w:val="0016699D"/>
    <w:rsid w:val="00174A44"/>
    <w:rsid w:val="00175159"/>
    <w:rsid w:val="00176208"/>
    <w:rsid w:val="00181A2D"/>
    <w:rsid w:val="0018211B"/>
    <w:rsid w:val="001840D3"/>
    <w:rsid w:val="001900F8"/>
    <w:rsid w:val="00191258"/>
    <w:rsid w:val="00192680"/>
    <w:rsid w:val="00193037"/>
    <w:rsid w:val="00193A2C"/>
    <w:rsid w:val="001A0732"/>
    <w:rsid w:val="001A288E"/>
    <w:rsid w:val="001B6DC2"/>
    <w:rsid w:val="001C149C"/>
    <w:rsid w:val="001C21AC"/>
    <w:rsid w:val="001C47BA"/>
    <w:rsid w:val="001C59EA"/>
    <w:rsid w:val="001D406C"/>
    <w:rsid w:val="001D41EE"/>
    <w:rsid w:val="001E0380"/>
    <w:rsid w:val="001E0C18"/>
    <w:rsid w:val="001E13B1"/>
    <w:rsid w:val="001F3A19"/>
    <w:rsid w:val="00234467"/>
    <w:rsid w:val="00237D8D"/>
    <w:rsid w:val="00241DA2"/>
    <w:rsid w:val="0024348C"/>
    <w:rsid w:val="00247FEE"/>
    <w:rsid w:val="00250E7D"/>
    <w:rsid w:val="002565D5"/>
    <w:rsid w:val="002622C0"/>
    <w:rsid w:val="00262B51"/>
    <w:rsid w:val="002778AE"/>
    <w:rsid w:val="0028269A"/>
    <w:rsid w:val="00283590"/>
    <w:rsid w:val="00286973"/>
    <w:rsid w:val="00293A1B"/>
    <w:rsid w:val="00294E70"/>
    <w:rsid w:val="002A1924"/>
    <w:rsid w:val="002A7420"/>
    <w:rsid w:val="002B0F12"/>
    <w:rsid w:val="002B1308"/>
    <w:rsid w:val="002B4554"/>
    <w:rsid w:val="002C248C"/>
    <w:rsid w:val="002C72D8"/>
    <w:rsid w:val="002D11FA"/>
    <w:rsid w:val="002E0DDF"/>
    <w:rsid w:val="002E2906"/>
    <w:rsid w:val="002E363B"/>
    <w:rsid w:val="002E5635"/>
    <w:rsid w:val="002E64C3"/>
    <w:rsid w:val="002E6A2C"/>
    <w:rsid w:val="002F1D8C"/>
    <w:rsid w:val="002F21DA"/>
    <w:rsid w:val="00301F39"/>
    <w:rsid w:val="00304BFA"/>
    <w:rsid w:val="00325926"/>
    <w:rsid w:val="00327A8A"/>
    <w:rsid w:val="00332523"/>
    <w:rsid w:val="00336610"/>
    <w:rsid w:val="00343F73"/>
    <w:rsid w:val="00345060"/>
    <w:rsid w:val="00350905"/>
    <w:rsid w:val="0035323B"/>
    <w:rsid w:val="00356318"/>
    <w:rsid w:val="003609D2"/>
    <w:rsid w:val="00363F22"/>
    <w:rsid w:val="00375564"/>
    <w:rsid w:val="00383191"/>
    <w:rsid w:val="00386DED"/>
    <w:rsid w:val="003912E7"/>
    <w:rsid w:val="00393947"/>
    <w:rsid w:val="0039711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13E8F"/>
    <w:rsid w:val="00421DB9"/>
    <w:rsid w:val="00425082"/>
    <w:rsid w:val="00431DEB"/>
    <w:rsid w:val="00446B29"/>
    <w:rsid w:val="00453F9A"/>
    <w:rsid w:val="00471E91"/>
    <w:rsid w:val="00474675"/>
    <w:rsid w:val="0047470C"/>
    <w:rsid w:val="004A35F9"/>
    <w:rsid w:val="004B24C1"/>
    <w:rsid w:val="004B7461"/>
    <w:rsid w:val="004C292F"/>
    <w:rsid w:val="004E13B6"/>
    <w:rsid w:val="004E728B"/>
    <w:rsid w:val="00510280"/>
    <w:rsid w:val="00513D73"/>
    <w:rsid w:val="00514A43"/>
    <w:rsid w:val="005174E5"/>
    <w:rsid w:val="00522393"/>
    <w:rsid w:val="00522620"/>
    <w:rsid w:val="00525656"/>
    <w:rsid w:val="00534C02"/>
    <w:rsid w:val="0054264B"/>
    <w:rsid w:val="00543786"/>
    <w:rsid w:val="005533D7"/>
    <w:rsid w:val="005635E7"/>
    <w:rsid w:val="005703DE"/>
    <w:rsid w:val="0058464E"/>
    <w:rsid w:val="00593B48"/>
    <w:rsid w:val="005A01CB"/>
    <w:rsid w:val="005A58FF"/>
    <w:rsid w:val="005A5EAF"/>
    <w:rsid w:val="005A64C0"/>
    <w:rsid w:val="005B3C11"/>
    <w:rsid w:val="005C1C28"/>
    <w:rsid w:val="005C6DB5"/>
    <w:rsid w:val="005D7F9C"/>
    <w:rsid w:val="005E19E7"/>
    <w:rsid w:val="005F0D35"/>
    <w:rsid w:val="0061716C"/>
    <w:rsid w:val="006243A1"/>
    <w:rsid w:val="00627B2B"/>
    <w:rsid w:val="00632E56"/>
    <w:rsid w:val="00635CBA"/>
    <w:rsid w:val="006430FA"/>
    <w:rsid w:val="0064338B"/>
    <w:rsid w:val="00646542"/>
    <w:rsid w:val="006504F4"/>
    <w:rsid w:val="00654BC9"/>
    <w:rsid w:val="006552FD"/>
    <w:rsid w:val="00662F6B"/>
    <w:rsid w:val="00663AF3"/>
    <w:rsid w:val="00666B6C"/>
    <w:rsid w:val="00682682"/>
    <w:rsid w:val="00682702"/>
    <w:rsid w:val="00682CAE"/>
    <w:rsid w:val="006836BD"/>
    <w:rsid w:val="00692368"/>
    <w:rsid w:val="00696470"/>
    <w:rsid w:val="00696E4C"/>
    <w:rsid w:val="006A2EBC"/>
    <w:rsid w:val="006A5EA0"/>
    <w:rsid w:val="006A783B"/>
    <w:rsid w:val="006A7B33"/>
    <w:rsid w:val="006B4E13"/>
    <w:rsid w:val="006B75DD"/>
    <w:rsid w:val="006C67E0"/>
    <w:rsid w:val="006C7ABA"/>
    <w:rsid w:val="006D0D60"/>
    <w:rsid w:val="006D1122"/>
    <w:rsid w:val="006D3C00"/>
    <w:rsid w:val="006D6CF4"/>
    <w:rsid w:val="006E273A"/>
    <w:rsid w:val="006E3675"/>
    <w:rsid w:val="006E4A7F"/>
    <w:rsid w:val="00704DF6"/>
    <w:rsid w:val="0070651C"/>
    <w:rsid w:val="007132A3"/>
    <w:rsid w:val="00716421"/>
    <w:rsid w:val="00724EFB"/>
    <w:rsid w:val="007419C3"/>
    <w:rsid w:val="00744F22"/>
    <w:rsid w:val="007467A7"/>
    <w:rsid w:val="007469DD"/>
    <w:rsid w:val="0074741B"/>
    <w:rsid w:val="0074759E"/>
    <w:rsid w:val="007478EA"/>
    <w:rsid w:val="0075415C"/>
    <w:rsid w:val="007564F9"/>
    <w:rsid w:val="00763502"/>
    <w:rsid w:val="00770A26"/>
    <w:rsid w:val="007913AB"/>
    <w:rsid w:val="007914F7"/>
    <w:rsid w:val="007A3E4A"/>
    <w:rsid w:val="007A4F15"/>
    <w:rsid w:val="007B1625"/>
    <w:rsid w:val="007B6011"/>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4330F"/>
    <w:rsid w:val="008504A8"/>
    <w:rsid w:val="0085282E"/>
    <w:rsid w:val="008614FC"/>
    <w:rsid w:val="0087198C"/>
    <w:rsid w:val="00872C1F"/>
    <w:rsid w:val="00873B42"/>
    <w:rsid w:val="0088359C"/>
    <w:rsid w:val="008856D8"/>
    <w:rsid w:val="00892E82"/>
    <w:rsid w:val="00897285"/>
    <w:rsid w:val="008C0898"/>
    <w:rsid w:val="008C1B58"/>
    <w:rsid w:val="008C39AE"/>
    <w:rsid w:val="008C590D"/>
    <w:rsid w:val="008D5B48"/>
    <w:rsid w:val="008E031B"/>
    <w:rsid w:val="008E2C08"/>
    <w:rsid w:val="008E7029"/>
    <w:rsid w:val="008E7EF6"/>
    <w:rsid w:val="008F1F98"/>
    <w:rsid w:val="008F6758"/>
    <w:rsid w:val="009040DD"/>
    <w:rsid w:val="00905B47"/>
    <w:rsid w:val="0091331C"/>
    <w:rsid w:val="00914A62"/>
    <w:rsid w:val="009279DE"/>
    <w:rsid w:val="00930116"/>
    <w:rsid w:val="00935E0D"/>
    <w:rsid w:val="0094212C"/>
    <w:rsid w:val="00951676"/>
    <w:rsid w:val="00954689"/>
    <w:rsid w:val="009617C9"/>
    <w:rsid w:val="00961C93"/>
    <w:rsid w:val="00964927"/>
    <w:rsid w:val="00965324"/>
    <w:rsid w:val="0097091E"/>
    <w:rsid w:val="009760D3"/>
    <w:rsid w:val="00977132"/>
    <w:rsid w:val="00981A4B"/>
    <w:rsid w:val="00982501"/>
    <w:rsid w:val="009877D3"/>
    <w:rsid w:val="00994E8F"/>
    <w:rsid w:val="009951DC"/>
    <w:rsid w:val="009959BB"/>
    <w:rsid w:val="00997158"/>
    <w:rsid w:val="009A3A7C"/>
    <w:rsid w:val="009B2556"/>
    <w:rsid w:val="009B2ADB"/>
    <w:rsid w:val="009B4648"/>
    <w:rsid w:val="009B603A"/>
    <w:rsid w:val="009B774D"/>
    <w:rsid w:val="009C2D0E"/>
    <w:rsid w:val="009C3DAC"/>
    <w:rsid w:val="009C42E0"/>
    <w:rsid w:val="009D28E4"/>
    <w:rsid w:val="009D5362"/>
    <w:rsid w:val="009E1415"/>
    <w:rsid w:val="009E6116"/>
    <w:rsid w:val="00A02E43"/>
    <w:rsid w:val="00A065F9"/>
    <w:rsid w:val="00A07F34"/>
    <w:rsid w:val="00A1066C"/>
    <w:rsid w:val="00A22154"/>
    <w:rsid w:val="00A25C38"/>
    <w:rsid w:val="00A36BBE"/>
    <w:rsid w:val="00A4307A"/>
    <w:rsid w:val="00A47EBB"/>
    <w:rsid w:val="00A51CDD"/>
    <w:rsid w:val="00A6730D"/>
    <w:rsid w:val="00A71625"/>
    <w:rsid w:val="00A71B9B"/>
    <w:rsid w:val="00A751C7"/>
    <w:rsid w:val="00A83052"/>
    <w:rsid w:val="00A87844"/>
    <w:rsid w:val="00AA01F4"/>
    <w:rsid w:val="00AA038C"/>
    <w:rsid w:val="00AA547D"/>
    <w:rsid w:val="00AA7A09"/>
    <w:rsid w:val="00AB0FEA"/>
    <w:rsid w:val="00AB3B50"/>
    <w:rsid w:val="00AB4C7F"/>
    <w:rsid w:val="00AC05B1"/>
    <w:rsid w:val="00AD356C"/>
    <w:rsid w:val="00AE2914"/>
    <w:rsid w:val="00AE6D15"/>
    <w:rsid w:val="00AF1012"/>
    <w:rsid w:val="00AF1ACD"/>
    <w:rsid w:val="00AF3D5F"/>
    <w:rsid w:val="00B02B0B"/>
    <w:rsid w:val="00B04182"/>
    <w:rsid w:val="00B07AE3"/>
    <w:rsid w:val="00B11430"/>
    <w:rsid w:val="00B120EA"/>
    <w:rsid w:val="00B1480F"/>
    <w:rsid w:val="00B34AE4"/>
    <w:rsid w:val="00B353EB"/>
    <w:rsid w:val="00B439C4"/>
    <w:rsid w:val="00B4535E"/>
    <w:rsid w:val="00B52A8C"/>
    <w:rsid w:val="00B52AA7"/>
    <w:rsid w:val="00B636A8"/>
    <w:rsid w:val="00B665C6"/>
    <w:rsid w:val="00B72969"/>
    <w:rsid w:val="00B7636C"/>
    <w:rsid w:val="00B805AF"/>
    <w:rsid w:val="00B869EC"/>
    <w:rsid w:val="00B9397A"/>
    <w:rsid w:val="00B9633D"/>
    <w:rsid w:val="00BA0B75"/>
    <w:rsid w:val="00BA2EBE"/>
    <w:rsid w:val="00BB0CA9"/>
    <w:rsid w:val="00BB0F28"/>
    <w:rsid w:val="00BB458A"/>
    <w:rsid w:val="00BD00D3"/>
    <w:rsid w:val="00BD1659"/>
    <w:rsid w:val="00BD3AA9"/>
    <w:rsid w:val="00BD4A18"/>
    <w:rsid w:val="00BD6DB2"/>
    <w:rsid w:val="00BE11CF"/>
    <w:rsid w:val="00BE1953"/>
    <w:rsid w:val="00BE21AB"/>
    <w:rsid w:val="00BE55CB"/>
    <w:rsid w:val="00BF19FD"/>
    <w:rsid w:val="00BF617A"/>
    <w:rsid w:val="00BF6FCE"/>
    <w:rsid w:val="00C0379D"/>
    <w:rsid w:val="00C03931"/>
    <w:rsid w:val="00C05FE3"/>
    <w:rsid w:val="00C2136D"/>
    <w:rsid w:val="00C214EE"/>
    <w:rsid w:val="00C2314B"/>
    <w:rsid w:val="00C24971"/>
    <w:rsid w:val="00C26BE5"/>
    <w:rsid w:val="00C26E4D"/>
    <w:rsid w:val="00C27909"/>
    <w:rsid w:val="00C27B03"/>
    <w:rsid w:val="00C30279"/>
    <w:rsid w:val="00C314E1"/>
    <w:rsid w:val="00C34397"/>
    <w:rsid w:val="00C3788B"/>
    <w:rsid w:val="00C4095D"/>
    <w:rsid w:val="00C601D2"/>
    <w:rsid w:val="00C65BCC"/>
    <w:rsid w:val="00C66970"/>
    <w:rsid w:val="00C8691C"/>
    <w:rsid w:val="00CA168A"/>
    <w:rsid w:val="00CA357E"/>
    <w:rsid w:val="00CA44F9"/>
    <w:rsid w:val="00CA4A69"/>
    <w:rsid w:val="00CC3E0C"/>
    <w:rsid w:val="00CC58D3"/>
    <w:rsid w:val="00CC784D"/>
    <w:rsid w:val="00D022C0"/>
    <w:rsid w:val="00D0337B"/>
    <w:rsid w:val="00D079B2"/>
    <w:rsid w:val="00D114E9"/>
    <w:rsid w:val="00D429C6"/>
    <w:rsid w:val="00D47748"/>
    <w:rsid w:val="00D50100"/>
    <w:rsid w:val="00D54CC3"/>
    <w:rsid w:val="00D57391"/>
    <w:rsid w:val="00D6041A"/>
    <w:rsid w:val="00D633EB"/>
    <w:rsid w:val="00D71C6E"/>
    <w:rsid w:val="00D82FF7"/>
    <w:rsid w:val="00D847FE"/>
    <w:rsid w:val="00D964EA"/>
    <w:rsid w:val="00D966D0"/>
    <w:rsid w:val="00DA0C59"/>
    <w:rsid w:val="00DA3991"/>
    <w:rsid w:val="00DA64B8"/>
    <w:rsid w:val="00DB0990"/>
    <w:rsid w:val="00DB7E6C"/>
    <w:rsid w:val="00DD5A29"/>
    <w:rsid w:val="00DD5D9D"/>
    <w:rsid w:val="00DE35CB"/>
    <w:rsid w:val="00DF0B09"/>
    <w:rsid w:val="00DF21E9"/>
    <w:rsid w:val="00E00F14"/>
    <w:rsid w:val="00E06386"/>
    <w:rsid w:val="00E06C36"/>
    <w:rsid w:val="00E11A68"/>
    <w:rsid w:val="00E24EB4"/>
    <w:rsid w:val="00E320ED"/>
    <w:rsid w:val="00E33AFB"/>
    <w:rsid w:val="00E34218"/>
    <w:rsid w:val="00E46282"/>
    <w:rsid w:val="00E5216E"/>
    <w:rsid w:val="00E82344"/>
    <w:rsid w:val="00E84C82"/>
    <w:rsid w:val="00E84D64"/>
    <w:rsid w:val="00E87408"/>
    <w:rsid w:val="00E914C4"/>
    <w:rsid w:val="00E934F5"/>
    <w:rsid w:val="00E9390A"/>
    <w:rsid w:val="00E96961"/>
    <w:rsid w:val="00EA72EC"/>
    <w:rsid w:val="00EB11CB"/>
    <w:rsid w:val="00EB275A"/>
    <w:rsid w:val="00EB786A"/>
    <w:rsid w:val="00EC1578"/>
    <w:rsid w:val="00EC1C72"/>
    <w:rsid w:val="00EC3CC9"/>
    <w:rsid w:val="00EC680A"/>
    <w:rsid w:val="00EE2BED"/>
    <w:rsid w:val="00EE2D2D"/>
    <w:rsid w:val="00EE374B"/>
    <w:rsid w:val="00F104FE"/>
    <w:rsid w:val="00F10899"/>
    <w:rsid w:val="00F11BB5"/>
    <w:rsid w:val="00F13969"/>
    <w:rsid w:val="00F1417B"/>
    <w:rsid w:val="00F2129E"/>
    <w:rsid w:val="00F34B99"/>
    <w:rsid w:val="00F52DAB"/>
    <w:rsid w:val="00F543F0"/>
    <w:rsid w:val="00F56075"/>
    <w:rsid w:val="00F749FF"/>
    <w:rsid w:val="00F81D29"/>
    <w:rsid w:val="00F83790"/>
    <w:rsid w:val="00F91C4D"/>
    <w:rsid w:val="00F92FD9"/>
    <w:rsid w:val="00FA6684"/>
    <w:rsid w:val="00FA731E"/>
    <w:rsid w:val="00FB2B38"/>
    <w:rsid w:val="00FC34F6"/>
    <w:rsid w:val="00FC6358"/>
    <w:rsid w:val="00FD01CF"/>
    <w:rsid w:val="00FD320D"/>
    <w:rsid w:val="00FE23DE"/>
    <w:rsid w:val="01AC4BF7"/>
    <w:rsid w:val="01DD40DF"/>
    <w:rsid w:val="05D82118"/>
    <w:rsid w:val="0AC202FA"/>
    <w:rsid w:val="0B4A31CB"/>
    <w:rsid w:val="0D384608"/>
    <w:rsid w:val="0F4F044B"/>
    <w:rsid w:val="11C205B6"/>
    <w:rsid w:val="12DD1783"/>
    <w:rsid w:val="12E6566D"/>
    <w:rsid w:val="17060EDA"/>
    <w:rsid w:val="18A43B62"/>
    <w:rsid w:val="1A677CAF"/>
    <w:rsid w:val="1F6700E4"/>
    <w:rsid w:val="24ED16DB"/>
    <w:rsid w:val="25744E06"/>
    <w:rsid w:val="25A1742A"/>
    <w:rsid w:val="263E279A"/>
    <w:rsid w:val="2BA0041F"/>
    <w:rsid w:val="38893547"/>
    <w:rsid w:val="3F345818"/>
    <w:rsid w:val="3F6A6470"/>
    <w:rsid w:val="48EB37FB"/>
    <w:rsid w:val="4B4F152C"/>
    <w:rsid w:val="54832F4A"/>
    <w:rsid w:val="59AE5418"/>
    <w:rsid w:val="5AEB78CC"/>
    <w:rsid w:val="5BB37F2A"/>
    <w:rsid w:val="5D772E80"/>
    <w:rsid w:val="5DC861BC"/>
    <w:rsid w:val="61501C65"/>
    <w:rsid w:val="65221CC3"/>
    <w:rsid w:val="65DC36CC"/>
    <w:rsid w:val="6D0B038C"/>
    <w:rsid w:val="6FB86E7F"/>
    <w:rsid w:val="721B5D56"/>
    <w:rsid w:val="730A6899"/>
    <w:rsid w:val="733D0F8F"/>
    <w:rsid w:val="7C58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sz w:val="20"/>
      <w:szCs w:val="20"/>
    </w:rPr>
  </w:style>
  <w:style w:type="paragraph" w:styleId="6">
    <w:name w:val="Document Map"/>
    <w:basedOn w:val="1"/>
    <w:semiHidden/>
    <w:qFormat/>
    <w:uiPriority w:val="0"/>
    <w:pPr>
      <w:shd w:val="clear" w:color="auto" w:fill="000080"/>
    </w:pPr>
  </w:style>
  <w:style w:type="paragraph" w:styleId="7">
    <w:name w:val="index 6"/>
    <w:basedOn w:val="1"/>
    <w:next w:val="1"/>
    <w:qFormat/>
    <w:uiPriority w:val="0"/>
    <w:pPr>
      <w:ind w:left="1260" w:hanging="210"/>
      <w:jc w:val="left"/>
    </w:pPr>
    <w:rPr>
      <w:sz w:val="20"/>
      <w:szCs w:val="20"/>
    </w:rPr>
  </w:style>
  <w:style w:type="paragraph" w:styleId="8">
    <w:name w:val="index 4"/>
    <w:basedOn w:val="1"/>
    <w:next w:val="1"/>
    <w:qFormat/>
    <w:uiPriority w:val="0"/>
    <w:pPr>
      <w:ind w:left="840" w:hanging="210"/>
      <w:jc w:val="left"/>
    </w:pPr>
    <w:rPr>
      <w:sz w:val="20"/>
      <w:szCs w:val="20"/>
    </w:rPr>
  </w:style>
  <w:style w:type="paragraph" w:styleId="9">
    <w:name w:val="toc 5"/>
    <w:basedOn w:val="1"/>
    <w:next w:val="1"/>
    <w:semiHidden/>
    <w:qFormat/>
    <w:uiPriority w:val="0"/>
    <w:pPr>
      <w:tabs>
        <w:tab w:val="right" w:leader="dot" w:pos="9241"/>
      </w:tabs>
      <w:ind w:firstLine="300" w:firstLineChars="300"/>
      <w:jc w:val="left"/>
    </w:pPr>
    <w:rPr>
      <w:rFonts w:ascii="宋体"/>
      <w:szCs w:val="21"/>
    </w:rPr>
  </w:style>
  <w:style w:type="paragraph" w:styleId="10">
    <w:name w:val="toc 3"/>
    <w:basedOn w:val="1"/>
    <w:next w:val="1"/>
    <w:semiHidden/>
    <w:qFormat/>
    <w:uiPriority w:val="0"/>
    <w:pPr>
      <w:tabs>
        <w:tab w:val="right" w:leader="dot" w:pos="9241"/>
      </w:tabs>
      <w:ind w:firstLine="100" w:firstLineChars="100"/>
      <w:jc w:val="left"/>
    </w:pPr>
    <w:rPr>
      <w:rFonts w:ascii="宋体"/>
      <w:szCs w:val="21"/>
    </w:rPr>
  </w:style>
  <w:style w:type="paragraph" w:styleId="11">
    <w:name w:val="toc 8"/>
    <w:basedOn w:val="1"/>
    <w:next w:val="1"/>
    <w:semiHidden/>
    <w:qFormat/>
    <w:uiPriority w:val="0"/>
    <w:pPr>
      <w:tabs>
        <w:tab w:val="right" w:leader="dot" w:pos="9241"/>
      </w:tabs>
      <w:ind w:firstLine="607" w:firstLineChars="600"/>
      <w:jc w:val="left"/>
    </w:pPr>
    <w:rPr>
      <w:rFonts w:ascii="宋体"/>
      <w:szCs w:val="21"/>
    </w:rPr>
  </w:style>
  <w:style w:type="paragraph" w:styleId="12">
    <w:name w:val="index 3"/>
    <w:basedOn w:val="1"/>
    <w:next w:val="1"/>
    <w:qFormat/>
    <w:uiPriority w:val="0"/>
    <w:pPr>
      <w:ind w:left="630" w:hanging="210"/>
      <w:jc w:val="left"/>
    </w:pPr>
    <w:rPr>
      <w:sz w:val="20"/>
      <w:szCs w:val="20"/>
    </w:rPr>
  </w:style>
  <w:style w:type="paragraph" w:styleId="13">
    <w:name w:val="endnote text"/>
    <w:basedOn w:val="1"/>
    <w:semiHidden/>
    <w:qFormat/>
    <w:uiPriority w:val="0"/>
    <w:pPr>
      <w:snapToGrid w:val="0"/>
      <w:jc w:val="left"/>
    </w:pPr>
  </w:style>
  <w:style w:type="paragraph" w:styleId="14">
    <w:name w:val="Balloon Text"/>
    <w:basedOn w:val="1"/>
    <w:link w:val="135"/>
    <w:qFormat/>
    <w:uiPriority w:val="0"/>
    <w:rPr>
      <w:sz w:val="18"/>
      <w:szCs w:val="18"/>
    </w:rPr>
  </w:style>
  <w:style w:type="paragraph" w:styleId="15">
    <w:name w:val="footer"/>
    <w:basedOn w:val="1"/>
    <w:qFormat/>
    <w:uiPriority w:val="0"/>
    <w:pPr>
      <w:snapToGrid w:val="0"/>
      <w:ind w:right="210" w:rightChars="100"/>
      <w:jc w:val="right"/>
    </w:pPr>
    <w:rPr>
      <w:sz w:val="18"/>
      <w:szCs w:val="18"/>
    </w:rPr>
  </w:style>
  <w:style w:type="paragraph" w:styleId="16">
    <w:name w:val="header"/>
    <w:basedOn w:val="1"/>
    <w:qFormat/>
    <w:uiPriority w:val="0"/>
    <w:pPr>
      <w:snapToGrid w:val="0"/>
      <w:jc w:val="left"/>
    </w:pPr>
    <w:rPr>
      <w:sz w:val="18"/>
      <w:szCs w:val="18"/>
    </w:rPr>
  </w:style>
  <w:style w:type="paragraph" w:styleId="17">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18">
    <w:name w:val="toc 4"/>
    <w:basedOn w:val="1"/>
    <w:next w:val="1"/>
    <w:semiHidden/>
    <w:qFormat/>
    <w:uiPriority w:val="0"/>
    <w:pPr>
      <w:tabs>
        <w:tab w:val="right" w:leader="dot" w:pos="9241"/>
      </w:tabs>
      <w:ind w:firstLine="200" w:firstLineChars="200"/>
      <w:jc w:val="left"/>
    </w:pPr>
    <w:rPr>
      <w:rFonts w:ascii="宋体"/>
      <w:szCs w:val="21"/>
    </w:rPr>
  </w:style>
  <w:style w:type="paragraph" w:styleId="19">
    <w:name w:val="index heading"/>
    <w:basedOn w:val="1"/>
    <w:next w:val="20"/>
    <w:qFormat/>
    <w:uiPriority w:val="0"/>
    <w:pPr>
      <w:spacing w:before="120" w:after="120"/>
      <w:jc w:val="center"/>
    </w:pPr>
    <w:rPr>
      <w:b/>
      <w:bCs/>
      <w:iCs/>
      <w:szCs w:val="20"/>
    </w:rPr>
  </w:style>
  <w:style w:type="paragraph" w:styleId="20">
    <w:name w:val="index 1"/>
    <w:basedOn w:val="1"/>
    <w:next w:val="21"/>
    <w:qFormat/>
    <w:uiPriority w:val="0"/>
    <w:pPr>
      <w:tabs>
        <w:tab w:val="right" w:leader="dot" w:pos="9299"/>
      </w:tabs>
      <w:jc w:val="left"/>
    </w:pPr>
    <w:rPr>
      <w:rFonts w:ascii="宋体"/>
      <w:szCs w:val="21"/>
    </w:rPr>
  </w:style>
  <w:style w:type="paragraph" w:customStyle="1" w:styleId="21">
    <w:name w:val="段"/>
    <w:link w:val="37"/>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22">
    <w:name w:val="footnote text"/>
    <w:basedOn w:val="1"/>
    <w:qFormat/>
    <w:uiPriority w:val="0"/>
    <w:pPr>
      <w:tabs>
        <w:tab w:val="left" w:pos="0"/>
      </w:tabs>
      <w:snapToGrid w:val="0"/>
      <w:ind w:left="720" w:hanging="357"/>
      <w:jc w:val="left"/>
    </w:pPr>
    <w:rPr>
      <w:rFonts w:ascii="宋体"/>
      <w:sz w:val="18"/>
      <w:szCs w:val="18"/>
    </w:rPr>
  </w:style>
  <w:style w:type="paragraph" w:styleId="23">
    <w:name w:val="toc 6"/>
    <w:basedOn w:val="1"/>
    <w:next w:val="1"/>
    <w:semiHidden/>
    <w:qFormat/>
    <w:uiPriority w:val="0"/>
    <w:pPr>
      <w:tabs>
        <w:tab w:val="right" w:leader="dot" w:pos="9241"/>
      </w:tabs>
      <w:ind w:firstLine="400" w:firstLineChars="400"/>
      <w:jc w:val="left"/>
    </w:pPr>
    <w:rPr>
      <w:rFonts w:ascii="宋体"/>
      <w:szCs w:val="21"/>
    </w:rPr>
  </w:style>
  <w:style w:type="paragraph" w:styleId="24">
    <w:name w:val="index 7"/>
    <w:basedOn w:val="1"/>
    <w:next w:val="1"/>
    <w:qFormat/>
    <w:uiPriority w:val="0"/>
    <w:pPr>
      <w:ind w:left="1470" w:hanging="210"/>
      <w:jc w:val="left"/>
    </w:pPr>
    <w:rPr>
      <w:sz w:val="20"/>
      <w:szCs w:val="20"/>
    </w:rPr>
  </w:style>
  <w:style w:type="paragraph" w:styleId="25">
    <w:name w:val="index 9"/>
    <w:basedOn w:val="1"/>
    <w:next w:val="1"/>
    <w:qFormat/>
    <w:uiPriority w:val="0"/>
    <w:pPr>
      <w:ind w:left="1890" w:hanging="210"/>
      <w:jc w:val="left"/>
    </w:pPr>
    <w:rPr>
      <w:sz w:val="20"/>
      <w:szCs w:val="20"/>
    </w:rPr>
  </w:style>
  <w:style w:type="paragraph" w:styleId="26">
    <w:name w:val="toc 2"/>
    <w:basedOn w:val="1"/>
    <w:next w:val="1"/>
    <w:semiHidden/>
    <w:qFormat/>
    <w:uiPriority w:val="0"/>
    <w:pPr>
      <w:tabs>
        <w:tab w:val="right" w:leader="dot" w:pos="9242"/>
      </w:tabs>
    </w:pPr>
    <w:rPr>
      <w:rFonts w:ascii="宋体"/>
      <w:szCs w:val="21"/>
    </w:rPr>
  </w:style>
  <w:style w:type="paragraph" w:styleId="27">
    <w:name w:val="toc 9"/>
    <w:basedOn w:val="1"/>
    <w:next w:val="1"/>
    <w:semiHidden/>
    <w:qFormat/>
    <w:uiPriority w:val="0"/>
    <w:pPr>
      <w:ind w:left="1470"/>
      <w:jc w:val="left"/>
    </w:pPr>
    <w:rPr>
      <w:sz w:val="20"/>
      <w:szCs w:val="20"/>
    </w:rPr>
  </w:style>
  <w:style w:type="paragraph" w:styleId="28">
    <w:name w:val="index 2"/>
    <w:basedOn w:val="1"/>
    <w:next w:val="1"/>
    <w:qFormat/>
    <w:uiPriority w:val="0"/>
    <w:pPr>
      <w:ind w:left="420" w:hanging="210"/>
      <w:jc w:val="left"/>
    </w:pPr>
    <w:rPr>
      <w:sz w:val="20"/>
      <w:szCs w:val="20"/>
    </w:rPr>
  </w:style>
  <w:style w:type="table" w:styleId="30">
    <w:name w:val="Table Grid"/>
    <w:basedOn w:val="29"/>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semiHidden/>
    <w:qFormat/>
    <w:uiPriority w:val="0"/>
    <w:rPr>
      <w:vertAlign w:val="superscript"/>
    </w:rPr>
  </w:style>
  <w:style w:type="character" w:styleId="33">
    <w:name w:val="page number"/>
    <w:qFormat/>
    <w:uiPriority w:val="0"/>
    <w:rPr>
      <w:rFonts w:ascii="Times New Roman" w:hAnsi="Times New Roman" w:eastAsia="宋体"/>
      <w:sz w:val="18"/>
    </w:rPr>
  </w:style>
  <w:style w:type="character" w:styleId="34">
    <w:name w:val="FollowedHyperlink"/>
    <w:qFormat/>
    <w:uiPriority w:val="0"/>
    <w:rPr>
      <w:color w:val="800080"/>
      <w:u w:val="single"/>
    </w:rPr>
  </w:style>
  <w:style w:type="character" w:styleId="35">
    <w:name w:val="Hyperlink"/>
    <w:qFormat/>
    <w:uiPriority w:val="0"/>
    <w:rPr>
      <w:color w:val="0000FF"/>
      <w:spacing w:val="0"/>
      <w:w w:val="100"/>
      <w:szCs w:val="21"/>
      <w:u w:val="single"/>
      <w:lang w:val="en-US" w:eastAsia="zh-CN"/>
    </w:rPr>
  </w:style>
  <w:style w:type="character" w:styleId="36">
    <w:name w:val="footnote reference"/>
    <w:semiHidden/>
    <w:qFormat/>
    <w:uiPriority w:val="0"/>
    <w:rPr>
      <w:vertAlign w:val="superscript"/>
    </w:rPr>
  </w:style>
  <w:style w:type="character" w:customStyle="1" w:styleId="37">
    <w:name w:val="段 Char"/>
    <w:link w:val="21"/>
    <w:qFormat/>
    <w:uiPriority w:val="99"/>
    <w:rPr>
      <w:rFonts w:ascii="宋体"/>
      <w:sz w:val="21"/>
      <w:lang w:val="en-US" w:eastAsia="zh-CN" w:bidi="ar-SA"/>
    </w:rPr>
  </w:style>
  <w:style w:type="character" w:customStyle="1" w:styleId="38">
    <w:name w:val="首示例 Char"/>
    <w:link w:val="39"/>
    <w:qFormat/>
    <w:uiPriority w:val="0"/>
    <w:rPr>
      <w:rFonts w:ascii="宋体" w:hAnsi="宋体"/>
      <w:kern w:val="2"/>
      <w:sz w:val="18"/>
      <w:szCs w:val="18"/>
    </w:rPr>
  </w:style>
  <w:style w:type="paragraph" w:customStyle="1" w:styleId="39">
    <w:name w:val="首示例"/>
    <w:next w:val="21"/>
    <w:link w:val="38"/>
    <w:qFormat/>
    <w:uiPriority w:val="0"/>
    <w:pPr>
      <w:tabs>
        <w:tab w:val="left" w:pos="360"/>
      </w:tabs>
    </w:pPr>
    <w:rPr>
      <w:rFonts w:ascii="宋体" w:hAnsi="宋体" w:eastAsia="宋体" w:cs="Times New Roman"/>
      <w:kern w:val="2"/>
      <w:sz w:val="18"/>
      <w:szCs w:val="18"/>
      <w:lang w:val="en-US" w:eastAsia="zh-CN" w:bidi="ar-SA"/>
    </w:rPr>
  </w:style>
  <w:style w:type="character" w:customStyle="1" w:styleId="40">
    <w:name w:val="附录公式 Char"/>
    <w:link w:val="41"/>
    <w:qFormat/>
    <w:uiPriority w:val="0"/>
    <w:rPr>
      <w:lang w:val="en-US" w:eastAsia="zh-CN" w:bidi="ar-SA"/>
    </w:rPr>
  </w:style>
  <w:style w:type="paragraph" w:customStyle="1" w:styleId="41">
    <w:name w:val="附录公式"/>
    <w:basedOn w:val="21"/>
    <w:next w:val="21"/>
    <w:link w:val="40"/>
    <w:qFormat/>
    <w:uiPriority w:val="0"/>
  </w:style>
  <w:style w:type="character" w:customStyle="1" w:styleId="42">
    <w:name w:val="发布"/>
    <w:qFormat/>
    <w:uiPriority w:val="0"/>
    <w:rPr>
      <w:rFonts w:ascii="黑体" w:eastAsia="黑体"/>
      <w:spacing w:val="85"/>
      <w:w w:val="100"/>
      <w:position w:val="3"/>
      <w:sz w:val="28"/>
      <w:szCs w:val="28"/>
    </w:rPr>
  </w:style>
  <w:style w:type="character" w:customStyle="1" w:styleId="43">
    <w:name w:val="段 Char Char"/>
    <w:qFormat/>
    <w:locked/>
    <w:uiPriority w:val="0"/>
    <w:rPr>
      <w:rFonts w:ascii="宋体"/>
      <w:sz w:val="21"/>
      <w:szCs w:val="21"/>
      <w:lang w:bidi="ar-SA"/>
    </w:rPr>
  </w:style>
  <w:style w:type="paragraph" w:customStyle="1" w:styleId="44">
    <w:name w:val="封面一致性程度标识2"/>
    <w:basedOn w:val="45"/>
    <w:qFormat/>
    <w:uiPriority w:val="0"/>
    <w:pPr>
      <w:framePr w:wrap="around" w:y="4469"/>
    </w:pPr>
  </w:style>
  <w:style w:type="paragraph" w:customStyle="1" w:styleId="45">
    <w:name w:val="封面一致性程度标识"/>
    <w:basedOn w:val="46"/>
    <w:qFormat/>
    <w:uiPriority w:val="0"/>
    <w:pPr>
      <w:framePr w:wrap="around"/>
      <w:spacing w:before="440"/>
    </w:pPr>
    <w:rPr>
      <w:rFonts w:ascii="宋体" w:eastAsia="宋体"/>
    </w:rPr>
  </w:style>
  <w:style w:type="paragraph" w:customStyle="1" w:styleId="46">
    <w:name w:val="封面标准英文名称"/>
    <w:basedOn w:val="47"/>
    <w:qFormat/>
    <w:uiPriority w:val="0"/>
    <w:pPr>
      <w:framePr w:wrap="around"/>
      <w:spacing w:before="370" w:line="400" w:lineRule="exact"/>
    </w:pPr>
    <w:rPr>
      <w:rFonts w:ascii="Times New Roman"/>
      <w:sz w:val="28"/>
      <w:szCs w:val="28"/>
    </w:rPr>
  </w:style>
  <w:style w:type="paragraph" w:customStyle="1" w:styleId="4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48">
    <w:name w:val="列项——（一级）"/>
    <w:qFormat/>
    <w:uiPriority w:val="0"/>
    <w:pPr>
      <w:widowControl w:val="0"/>
      <w:ind w:left="833" w:hanging="408"/>
      <w:jc w:val="both"/>
    </w:pPr>
    <w:rPr>
      <w:rFonts w:ascii="宋体" w:hAnsi="Calibri" w:eastAsia="宋体" w:cs="Times New Roman"/>
      <w:sz w:val="21"/>
      <w:lang w:val="en-US" w:eastAsia="zh-CN" w:bidi="ar-SA"/>
    </w:rPr>
  </w:style>
  <w:style w:type="paragraph" w:customStyle="1" w:styleId="49">
    <w:name w:val="三级条标题"/>
    <w:basedOn w:val="50"/>
    <w:next w:val="21"/>
    <w:qFormat/>
    <w:uiPriority w:val="0"/>
    <w:pPr>
      <w:ind w:left="0"/>
      <w:outlineLvl w:val="4"/>
    </w:pPr>
  </w:style>
  <w:style w:type="paragraph" w:customStyle="1" w:styleId="50">
    <w:name w:val="二级条标题"/>
    <w:basedOn w:val="51"/>
    <w:next w:val="21"/>
    <w:qFormat/>
    <w:uiPriority w:val="0"/>
    <w:pPr>
      <w:spacing w:before="50" w:after="50"/>
      <w:ind w:left="1560"/>
      <w:outlineLvl w:val="3"/>
    </w:pPr>
  </w:style>
  <w:style w:type="paragraph" w:customStyle="1" w:styleId="51">
    <w:name w:val="一级条标题"/>
    <w:next w:val="21"/>
    <w:qFormat/>
    <w:uiPriority w:val="0"/>
    <w:pPr>
      <w:spacing w:before="156" w:beforeLines="50" w:after="156" w:afterLines="50"/>
      <w:outlineLvl w:val="2"/>
    </w:pPr>
    <w:rPr>
      <w:rFonts w:ascii="黑体" w:hAnsi="Calibri" w:eastAsia="黑体" w:cs="Times New Roman"/>
      <w:sz w:val="21"/>
      <w:szCs w:val="21"/>
      <w:lang w:val="en-US" w:eastAsia="zh-CN" w:bidi="ar-SA"/>
    </w:rPr>
  </w:style>
  <w:style w:type="paragraph" w:customStyle="1" w:styleId="52">
    <w:name w:val="列项◆（三级）"/>
    <w:basedOn w:val="1"/>
    <w:qFormat/>
    <w:uiPriority w:val="0"/>
    <w:pPr>
      <w:tabs>
        <w:tab w:val="left" w:pos="1678"/>
      </w:tabs>
      <w:ind w:left="1678" w:hanging="414"/>
    </w:pPr>
    <w:rPr>
      <w:rFonts w:ascii="宋体"/>
      <w:szCs w:val="21"/>
    </w:rPr>
  </w:style>
  <w:style w:type="paragraph" w:customStyle="1" w:styleId="53">
    <w:name w:val="封面标准文稿类别"/>
    <w:basedOn w:val="45"/>
    <w:qFormat/>
    <w:uiPriority w:val="0"/>
    <w:pPr>
      <w:framePr w:wrap="around"/>
      <w:spacing w:after="160" w:line="240" w:lineRule="auto"/>
    </w:pPr>
    <w:rPr>
      <w:sz w:val="24"/>
    </w:rPr>
  </w:style>
  <w:style w:type="paragraph" w:customStyle="1" w:styleId="54">
    <w:name w:val="参考文献"/>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55">
    <w:name w:val="标准书眉一"/>
    <w:qFormat/>
    <w:uiPriority w:val="0"/>
    <w:pPr>
      <w:jc w:val="both"/>
    </w:pPr>
    <w:rPr>
      <w:rFonts w:ascii="Calibri" w:hAnsi="Calibri" w:eastAsia="宋体" w:cs="Times New Roman"/>
      <w:lang w:val="en-US" w:eastAsia="zh-CN" w:bidi="ar-SA"/>
    </w:rPr>
  </w:style>
  <w:style w:type="paragraph" w:customStyle="1" w:styleId="56">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57">
    <w:name w:val="注：（正文）"/>
    <w:basedOn w:val="58"/>
    <w:next w:val="21"/>
    <w:qFormat/>
    <w:uiPriority w:val="0"/>
  </w:style>
  <w:style w:type="paragraph" w:customStyle="1" w:styleId="58">
    <w:name w:val="注："/>
    <w:next w:val="21"/>
    <w:qFormat/>
    <w:uiPriority w:val="0"/>
    <w:pPr>
      <w:widowControl w:val="0"/>
      <w:autoSpaceDE w:val="0"/>
      <w:autoSpaceDN w:val="0"/>
      <w:ind w:left="726" w:hanging="363"/>
      <w:jc w:val="both"/>
    </w:pPr>
    <w:rPr>
      <w:rFonts w:ascii="宋体" w:hAnsi="Calibri" w:eastAsia="宋体" w:cs="Times New Roman"/>
      <w:sz w:val="18"/>
      <w:szCs w:val="18"/>
      <w:lang w:val="en-US" w:eastAsia="zh-CN" w:bidi="ar-SA"/>
    </w:rPr>
  </w:style>
  <w:style w:type="paragraph" w:customStyle="1" w:styleId="59">
    <w:name w:val="编号列项（三级）"/>
    <w:qFormat/>
    <w:uiPriority w:val="0"/>
    <w:rPr>
      <w:rFonts w:ascii="宋体" w:hAnsi="Calibri" w:eastAsia="宋体" w:cs="Times New Roman"/>
      <w:sz w:val="21"/>
      <w:lang w:val="en-US" w:eastAsia="zh-CN" w:bidi="ar-SA"/>
    </w:rPr>
  </w:style>
  <w:style w:type="paragraph" w:customStyle="1" w:styleId="60">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61">
    <w:name w:val="目次、标准名称标题"/>
    <w:basedOn w:val="1"/>
    <w:next w:val="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2">
    <w:name w:val="其他实施日期"/>
    <w:basedOn w:val="63"/>
    <w:qFormat/>
    <w:uiPriority w:val="0"/>
    <w:pPr>
      <w:framePr w:wrap="around"/>
    </w:pPr>
  </w:style>
  <w:style w:type="paragraph" w:customStyle="1" w:styleId="63">
    <w:name w:val="实施日期"/>
    <w:basedOn w:val="64"/>
    <w:qFormat/>
    <w:uiPriority w:val="0"/>
    <w:pPr>
      <w:framePr w:wrap="around" w:vAnchor="page" w:hAnchor="text"/>
      <w:jc w:val="right"/>
    </w:pPr>
  </w:style>
  <w:style w:type="paragraph" w:customStyle="1" w:styleId="64">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65">
    <w:name w:val="四级无"/>
    <w:basedOn w:val="66"/>
    <w:qFormat/>
    <w:uiPriority w:val="0"/>
    <w:pPr>
      <w:spacing w:before="0" w:beforeLines="0" w:after="0" w:afterLines="0"/>
    </w:pPr>
    <w:rPr>
      <w:rFonts w:ascii="宋体" w:eastAsia="宋体"/>
    </w:rPr>
  </w:style>
  <w:style w:type="paragraph" w:customStyle="1" w:styleId="66">
    <w:name w:val="四级条标题"/>
    <w:basedOn w:val="49"/>
    <w:next w:val="21"/>
    <w:qFormat/>
    <w:uiPriority w:val="0"/>
    <w:pPr>
      <w:outlineLvl w:val="5"/>
    </w:pPr>
  </w:style>
  <w:style w:type="paragraph" w:customStyle="1" w:styleId="67">
    <w:name w:val="封面标准文稿编辑信息"/>
    <w:basedOn w:val="53"/>
    <w:qFormat/>
    <w:uiPriority w:val="0"/>
    <w:pPr>
      <w:framePr w:wrap="around"/>
      <w:spacing w:before="180" w:line="180" w:lineRule="exact"/>
    </w:pPr>
    <w:rPr>
      <w:sz w:val="21"/>
    </w:rPr>
  </w:style>
  <w:style w:type="paragraph" w:customStyle="1" w:styleId="68">
    <w:name w:val="封面标准文稿编辑信息2"/>
    <w:basedOn w:val="67"/>
    <w:qFormat/>
    <w:uiPriority w:val="0"/>
    <w:pPr>
      <w:framePr w:wrap="around" w:y="4469"/>
    </w:pPr>
  </w:style>
  <w:style w:type="paragraph" w:customStyle="1" w:styleId="69">
    <w:name w:val="示例"/>
    <w:next w:val="70"/>
    <w:qFormat/>
    <w:uiPriority w:val="0"/>
    <w:pPr>
      <w:widowControl w:val="0"/>
      <w:ind w:firstLine="363"/>
      <w:jc w:val="both"/>
    </w:pPr>
    <w:rPr>
      <w:rFonts w:ascii="宋体" w:hAnsi="Calibri" w:eastAsia="宋体" w:cs="Times New Roman"/>
      <w:sz w:val="18"/>
      <w:szCs w:val="18"/>
      <w:lang w:val="en-US" w:eastAsia="zh-CN" w:bidi="ar-SA"/>
    </w:rPr>
  </w:style>
  <w:style w:type="paragraph" w:customStyle="1" w:styleId="70">
    <w:name w:val="示例内容"/>
    <w:qFormat/>
    <w:uiPriority w:val="0"/>
    <w:pPr>
      <w:ind w:firstLine="200" w:firstLineChars="200"/>
    </w:pPr>
    <w:rPr>
      <w:rFonts w:ascii="宋体" w:hAnsi="Calibri" w:eastAsia="宋体" w:cs="Times New Roman"/>
      <w:sz w:val="18"/>
      <w:szCs w:val="18"/>
      <w:lang w:val="en-US" w:eastAsia="zh-CN" w:bidi="ar-SA"/>
    </w:rPr>
  </w:style>
  <w:style w:type="paragraph" w:customStyle="1" w:styleId="71">
    <w:name w:val="章标题"/>
    <w:next w:val="21"/>
    <w:qFormat/>
    <w:uiPriority w:val="0"/>
    <w:p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72">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73">
    <w:name w:val="数字编号列项（二级）"/>
    <w:qFormat/>
    <w:uiPriority w:val="0"/>
    <w:pPr>
      <w:tabs>
        <w:tab w:val="left" w:pos="1260"/>
      </w:tabs>
      <w:ind w:left="1259" w:hanging="419"/>
      <w:jc w:val="both"/>
    </w:pPr>
    <w:rPr>
      <w:rFonts w:ascii="宋体" w:hAnsi="Calibri" w:eastAsia="宋体" w:cs="Times New Roman"/>
      <w:sz w:val="21"/>
      <w:lang w:val="en-US" w:eastAsia="zh-CN" w:bidi="ar-SA"/>
    </w:rPr>
  </w:style>
  <w:style w:type="paragraph" w:customStyle="1" w:styleId="74">
    <w:name w:val="列项●（二级）"/>
    <w:qFormat/>
    <w:uiPriority w:val="0"/>
    <w:pPr>
      <w:tabs>
        <w:tab w:val="left" w:pos="760"/>
        <w:tab w:val="left" w:pos="840"/>
      </w:tabs>
      <w:ind w:left="1264" w:hanging="413"/>
      <w:jc w:val="both"/>
    </w:pPr>
    <w:rPr>
      <w:rFonts w:ascii="宋体" w:hAnsi="Calibri" w:eastAsia="宋体" w:cs="Times New Roman"/>
      <w:sz w:val="21"/>
      <w:lang w:val="en-US" w:eastAsia="zh-CN" w:bidi="ar-SA"/>
    </w:rPr>
  </w:style>
  <w:style w:type="paragraph" w:customStyle="1" w:styleId="75">
    <w:name w:val="附录二级条标题"/>
    <w:basedOn w:val="1"/>
    <w:next w:val="21"/>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6">
    <w:name w:val="注×："/>
    <w:qFormat/>
    <w:uiPriority w:val="0"/>
    <w:pPr>
      <w:widowControl w:val="0"/>
      <w:autoSpaceDE w:val="0"/>
      <w:autoSpaceDN w:val="0"/>
      <w:ind w:left="811" w:hanging="448"/>
      <w:jc w:val="both"/>
    </w:pPr>
    <w:rPr>
      <w:rFonts w:ascii="宋体" w:hAnsi="Calibri" w:eastAsia="宋体" w:cs="Times New Roman"/>
      <w:sz w:val="18"/>
      <w:szCs w:val="18"/>
      <w:lang w:val="en-US" w:eastAsia="zh-CN" w:bidi="ar-SA"/>
    </w:rPr>
  </w:style>
  <w:style w:type="paragraph" w:customStyle="1" w:styleId="7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78">
    <w:name w:val="附录公式编号制表符"/>
    <w:basedOn w:val="1"/>
    <w:next w:val="21"/>
    <w:qFormat/>
    <w:uiPriority w:val="0"/>
    <w:pPr>
      <w:widowControl/>
      <w:tabs>
        <w:tab w:val="center" w:pos="4201"/>
        <w:tab w:val="right" w:leader="dot" w:pos="9298"/>
      </w:tabs>
      <w:autoSpaceDE w:val="0"/>
      <w:autoSpaceDN w:val="0"/>
    </w:pPr>
    <w:rPr>
      <w:rFonts w:ascii="宋体"/>
      <w:kern w:val="0"/>
      <w:szCs w:val="20"/>
    </w:rPr>
  </w:style>
  <w:style w:type="paragraph" w:customStyle="1" w:styleId="79">
    <w:name w:val="五级条标题"/>
    <w:basedOn w:val="66"/>
    <w:next w:val="21"/>
    <w:qFormat/>
    <w:uiPriority w:val="0"/>
    <w:pPr>
      <w:outlineLvl w:val="6"/>
    </w:pPr>
  </w:style>
  <w:style w:type="paragraph" w:customStyle="1" w:styleId="8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81">
    <w:name w:val="示例×："/>
    <w:basedOn w:val="71"/>
    <w:qFormat/>
    <w:uiPriority w:val="0"/>
    <w:pPr>
      <w:spacing w:before="0" w:beforeLines="0" w:after="0" w:afterLines="0"/>
      <w:ind w:firstLine="363"/>
      <w:outlineLvl w:val="9"/>
    </w:pPr>
    <w:rPr>
      <w:rFonts w:ascii="宋体" w:eastAsia="宋体"/>
      <w:sz w:val="18"/>
      <w:szCs w:val="18"/>
    </w:rPr>
  </w:style>
  <w:style w:type="paragraph" w:customStyle="1" w:styleId="82">
    <w:name w:val="发布部门"/>
    <w:next w:val="21"/>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83">
    <w:name w:val="附录四级条标题"/>
    <w:basedOn w:val="84"/>
    <w:next w:val="21"/>
    <w:qFormat/>
    <w:uiPriority w:val="0"/>
    <w:pPr>
      <w:tabs>
        <w:tab w:val="left" w:pos="360"/>
      </w:tabs>
      <w:outlineLvl w:val="5"/>
    </w:pPr>
  </w:style>
  <w:style w:type="paragraph" w:customStyle="1" w:styleId="84">
    <w:name w:val="附录三级条标题"/>
    <w:basedOn w:val="75"/>
    <w:next w:val="21"/>
    <w:qFormat/>
    <w:uiPriority w:val="0"/>
    <w:pPr>
      <w:outlineLvl w:val="4"/>
    </w:pPr>
  </w:style>
  <w:style w:type="paragraph" w:customStyle="1" w:styleId="85">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86">
    <w:name w:val="字母编号列项（一级）"/>
    <w:qFormat/>
    <w:uiPriority w:val="0"/>
    <w:pPr>
      <w:tabs>
        <w:tab w:val="left" w:pos="840"/>
      </w:tabs>
      <w:ind w:left="839" w:hanging="419"/>
      <w:jc w:val="both"/>
    </w:pPr>
    <w:rPr>
      <w:rFonts w:ascii="宋体" w:hAnsi="Calibri" w:eastAsia="宋体" w:cs="Times New Roman"/>
      <w:sz w:val="21"/>
      <w:lang w:val="en-US" w:eastAsia="zh-CN" w:bidi="ar-SA"/>
    </w:rPr>
  </w:style>
  <w:style w:type="paragraph" w:customStyle="1" w:styleId="87">
    <w:name w:val="附录一级无"/>
    <w:basedOn w:val="88"/>
    <w:qFormat/>
    <w:uiPriority w:val="0"/>
    <w:pPr>
      <w:tabs>
        <w:tab w:val="left" w:pos="360"/>
      </w:tabs>
      <w:spacing w:before="0" w:beforeLines="0" w:after="0" w:afterLines="0"/>
    </w:pPr>
    <w:rPr>
      <w:rFonts w:ascii="宋体" w:eastAsia="宋体"/>
      <w:szCs w:val="21"/>
    </w:rPr>
  </w:style>
  <w:style w:type="paragraph" w:customStyle="1" w:styleId="88">
    <w:name w:val="附录一级条标题"/>
    <w:basedOn w:val="89"/>
    <w:next w:val="21"/>
    <w:qFormat/>
    <w:uiPriority w:val="0"/>
    <w:pPr>
      <w:tabs>
        <w:tab w:val="left" w:pos="360"/>
      </w:tabs>
      <w:autoSpaceDN w:val="0"/>
      <w:spacing w:before="50" w:beforeLines="50" w:after="50" w:afterLines="50"/>
      <w:outlineLvl w:val="2"/>
    </w:pPr>
  </w:style>
  <w:style w:type="paragraph" w:customStyle="1" w:styleId="89">
    <w:name w:val="附录章标题"/>
    <w:next w:val="21"/>
    <w:qFormat/>
    <w:uiPriority w:val="0"/>
    <w:pPr>
      <w:tabs>
        <w:tab w:val="left" w:pos="360"/>
      </w:tabs>
      <w:wordWrap w:val="0"/>
      <w:overflowPunct w:val="0"/>
      <w:autoSpaceDE w:val="0"/>
      <w:spacing w:before="100" w:beforeLines="100" w:after="100" w:afterLines="100"/>
      <w:jc w:val="both"/>
      <w:textAlignment w:val="baseline"/>
      <w:outlineLvl w:val="1"/>
    </w:pPr>
    <w:rPr>
      <w:rFonts w:ascii="黑体" w:hAnsi="Calibri" w:eastAsia="黑体" w:cs="Times New Roman"/>
      <w:kern w:val="21"/>
      <w:sz w:val="21"/>
      <w:lang w:val="en-US" w:eastAsia="zh-CN" w:bidi="ar-SA"/>
    </w:rPr>
  </w:style>
  <w:style w:type="paragraph" w:customStyle="1" w:styleId="90">
    <w:name w:val="附录表标题"/>
    <w:basedOn w:val="1"/>
    <w:next w:val="21"/>
    <w:qFormat/>
    <w:uiPriority w:val="0"/>
    <w:pPr>
      <w:tabs>
        <w:tab w:val="left" w:pos="180"/>
      </w:tabs>
      <w:spacing w:before="50" w:beforeLines="50" w:after="50" w:afterLines="50"/>
      <w:jc w:val="center"/>
    </w:pPr>
    <w:rPr>
      <w:rFonts w:ascii="黑体" w:eastAsia="黑体"/>
      <w:szCs w:val="21"/>
    </w:rPr>
  </w:style>
  <w:style w:type="paragraph" w:customStyle="1" w:styleId="91">
    <w:name w:val="注×：（正文）"/>
    <w:qFormat/>
    <w:uiPriority w:val="0"/>
    <w:pPr>
      <w:ind w:left="811" w:hanging="448"/>
      <w:jc w:val="both"/>
    </w:pPr>
    <w:rPr>
      <w:rFonts w:ascii="宋体" w:hAnsi="Calibri" w:eastAsia="宋体" w:cs="Times New Roman"/>
      <w:sz w:val="18"/>
      <w:szCs w:val="18"/>
      <w:lang w:val="en-US" w:eastAsia="zh-CN" w:bidi="ar-SA"/>
    </w:rPr>
  </w:style>
  <w:style w:type="paragraph" w:customStyle="1" w:styleId="92">
    <w:name w:val="图表脚注说明"/>
    <w:basedOn w:val="1"/>
    <w:qFormat/>
    <w:uiPriority w:val="0"/>
    <w:pPr>
      <w:ind w:left="544" w:hanging="181"/>
    </w:pPr>
    <w:rPr>
      <w:rFonts w:ascii="宋体"/>
      <w:sz w:val="18"/>
      <w:szCs w:val="18"/>
    </w:rPr>
  </w:style>
  <w:style w:type="paragraph" w:customStyle="1" w:styleId="93">
    <w:name w:val="二级无"/>
    <w:basedOn w:val="50"/>
    <w:qFormat/>
    <w:uiPriority w:val="0"/>
    <w:pPr>
      <w:spacing w:before="0" w:beforeLines="0" w:after="0" w:afterLines="0"/>
      <w:ind w:left="0"/>
    </w:pPr>
    <w:rPr>
      <w:rFonts w:ascii="宋体" w:eastAsia="宋体"/>
    </w:rPr>
  </w:style>
  <w:style w:type="paragraph" w:customStyle="1" w:styleId="94">
    <w:name w:val="条文脚注"/>
    <w:basedOn w:val="22"/>
    <w:qFormat/>
    <w:uiPriority w:val="0"/>
    <w:pPr>
      <w:ind w:left="0" w:firstLine="0"/>
      <w:jc w:val="both"/>
    </w:pPr>
  </w:style>
  <w:style w:type="paragraph" w:customStyle="1" w:styleId="95">
    <w:name w:val="列项说明数字编号"/>
    <w:qFormat/>
    <w:uiPriority w:val="0"/>
    <w:pPr>
      <w:ind w:left="600" w:leftChars="400" w:hanging="200" w:hangingChars="200"/>
    </w:pPr>
    <w:rPr>
      <w:rFonts w:ascii="宋体" w:hAnsi="Calibri" w:eastAsia="宋体" w:cs="Times New Roman"/>
      <w:sz w:val="21"/>
      <w:lang w:val="en-US" w:eastAsia="zh-CN" w:bidi="ar-SA"/>
    </w:rPr>
  </w:style>
  <w:style w:type="paragraph" w:customStyle="1" w:styleId="96">
    <w:name w:val="标准书眉_偶数页"/>
    <w:basedOn w:val="60"/>
    <w:next w:val="1"/>
    <w:qFormat/>
    <w:uiPriority w:val="0"/>
    <w:pPr>
      <w:jc w:val="left"/>
    </w:pPr>
  </w:style>
  <w:style w:type="paragraph" w:customStyle="1" w:styleId="97">
    <w:name w:val="参考文献、索引标题"/>
    <w:basedOn w:val="1"/>
    <w:next w:val="2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8">
    <w:name w:val="封面标准英文名称2"/>
    <w:basedOn w:val="46"/>
    <w:qFormat/>
    <w:uiPriority w:val="0"/>
    <w:pPr>
      <w:framePr w:wrap="around" w:y="4469"/>
    </w:pPr>
  </w:style>
  <w:style w:type="paragraph" w:customStyle="1" w:styleId="99">
    <w:name w:val="附录图标题"/>
    <w:basedOn w:val="1"/>
    <w:next w:val="21"/>
    <w:qFormat/>
    <w:uiPriority w:val="0"/>
    <w:pPr>
      <w:tabs>
        <w:tab w:val="left" w:pos="363"/>
      </w:tabs>
      <w:spacing w:before="50" w:beforeLines="50" w:after="50" w:afterLines="50"/>
      <w:jc w:val="center"/>
    </w:pPr>
    <w:rPr>
      <w:rFonts w:ascii="黑体" w:eastAsia="黑体"/>
      <w:szCs w:val="21"/>
    </w:rPr>
  </w:style>
  <w:style w:type="paragraph" w:customStyle="1" w:styleId="100">
    <w:name w:val="附录三级无"/>
    <w:basedOn w:val="84"/>
    <w:qFormat/>
    <w:uiPriority w:val="0"/>
    <w:pPr>
      <w:tabs>
        <w:tab w:val="clear" w:pos="360"/>
      </w:tabs>
      <w:spacing w:before="0" w:beforeLines="0" w:after="0" w:afterLines="0"/>
    </w:pPr>
    <w:rPr>
      <w:rFonts w:ascii="宋体" w:eastAsia="宋体"/>
      <w:szCs w:val="21"/>
    </w:rPr>
  </w:style>
  <w:style w:type="paragraph" w:customStyle="1" w:styleId="101">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102">
    <w:name w:val="附录字母编号列项（一级）"/>
    <w:qFormat/>
    <w:uiPriority w:val="0"/>
    <w:pPr>
      <w:tabs>
        <w:tab w:val="left" w:pos="839"/>
      </w:tabs>
      <w:ind w:left="839" w:hanging="419"/>
    </w:pPr>
    <w:rPr>
      <w:rFonts w:ascii="宋体" w:hAnsi="Calibri" w:eastAsia="宋体" w:cs="Times New Roman"/>
      <w:sz w:val="21"/>
      <w:lang w:val="en-US" w:eastAsia="zh-CN" w:bidi="ar-SA"/>
    </w:rPr>
  </w:style>
  <w:style w:type="paragraph" w:customStyle="1" w:styleId="103">
    <w:name w:val="前言、引言标题"/>
    <w:next w:val="21"/>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104">
    <w:name w:val="附录五级无"/>
    <w:basedOn w:val="105"/>
    <w:qFormat/>
    <w:uiPriority w:val="0"/>
    <w:pPr>
      <w:tabs>
        <w:tab w:val="left" w:pos="360"/>
      </w:tabs>
      <w:spacing w:before="0" w:beforeLines="0" w:after="0" w:afterLines="0"/>
    </w:pPr>
    <w:rPr>
      <w:rFonts w:ascii="宋体" w:eastAsia="宋体"/>
      <w:szCs w:val="21"/>
    </w:rPr>
  </w:style>
  <w:style w:type="paragraph" w:customStyle="1" w:styleId="105">
    <w:name w:val="附录五级条标题"/>
    <w:basedOn w:val="83"/>
    <w:next w:val="21"/>
    <w:qFormat/>
    <w:uiPriority w:val="0"/>
    <w:pPr>
      <w:outlineLvl w:val="6"/>
    </w:pPr>
  </w:style>
  <w:style w:type="paragraph" w:customStyle="1" w:styleId="106">
    <w:name w:val="附录标识"/>
    <w:basedOn w:val="1"/>
    <w:next w:val="21"/>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7">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108">
    <w:name w:val="其他标准标志"/>
    <w:basedOn w:val="80"/>
    <w:qFormat/>
    <w:uiPriority w:val="0"/>
    <w:pPr>
      <w:framePr w:w="6101" w:wrap="around" w:vAnchor="page" w:hAnchor="page" w:x="4673" w:y="942"/>
    </w:pPr>
    <w:rPr>
      <w:w w:val="130"/>
    </w:rPr>
  </w:style>
  <w:style w:type="paragraph" w:customStyle="1" w:styleId="109">
    <w:name w:val="附录标题"/>
    <w:basedOn w:val="21"/>
    <w:next w:val="21"/>
    <w:qFormat/>
    <w:uiPriority w:val="0"/>
    <w:pPr>
      <w:ind w:firstLine="0" w:firstLineChars="0"/>
      <w:jc w:val="center"/>
    </w:pPr>
    <w:rPr>
      <w:rFonts w:ascii="黑体" w:eastAsia="黑体"/>
    </w:rPr>
  </w:style>
  <w:style w:type="paragraph" w:customStyle="1" w:styleId="110">
    <w:name w:val="封面正文"/>
    <w:qFormat/>
    <w:uiPriority w:val="0"/>
    <w:pPr>
      <w:jc w:val="both"/>
    </w:pPr>
    <w:rPr>
      <w:rFonts w:ascii="Calibri" w:hAnsi="Calibri" w:eastAsia="宋体" w:cs="Times New Roman"/>
      <w:lang w:val="en-US" w:eastAsia="zh-CN" w:bidi="ar-SA"/>
    </w:rPr>
  </w:style>
  <w:style w:type="paragraph" w:customStyle="1" w:styleId="111">
    <w:name w:val="附录表标号"/>
    <w:basedOn w:val="1"/>
    <w:next w:val="21"/>
    <w:qFormat/>
    <w:uiPriority w:val="0"/>
    <w:pPr>
      <w:spacing w:line="14" w:lineRule="exact"/>
      <w:ind w:left="811" w:hanging="448"/>
      <w:jc w:val="center"/>
      <w:outlineLvl w:val="0"/>
    </w:pPr>
    <w:rPr>
      <w:color w:val="FFFFFF"/>
    </w:rPr>
  </w:style>
  <w:style w:type="paragraph" w:customStyle="1" w:styleId="112">
    <w:name w:val="图的脚注"/>
    <w:next w:val="21"/>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113">
    <w:name w:val="附录数字编号列项（二级）"/>
    <w:qFormat/>
    <w:uiPriority w:val="0"/>
    <w:pPr>
      <w:tabs>
        <w:tab w:val="left" w:pos="840"/>
      </w:tabs>
      <w:ind w:left="839" w:hanging="419"/>
    </w:pPr>
    <w:rPr>
      <w:rFonts w:ascii="宋体" w:hAnsi="Calibri" w:eastAsia="宋体" w:cs="Times New Roman"/>
      <w:sz w:val="21"/>
      <w:lang w:val="en-US" w:eastAsia="zh-CN" w:bidi="ar-SA"/>
    </w:rPr>
  </w:style>
  <w:style w:type="paragraph" w:customStyle="1" w:styleId="114">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15">
    <w:name w:val="附录二级无"/>
    <w:basedOn w:val="75"/>
    <w:qFormat/>
    <w:uiPriority w:val="0"/>
    <w:pPr>
      <w:tabs>
        <w:tab w:val="clear" w:pos="360"/>
      </w:tabs>
      <w:spacing w:before="0" w:beforeLines="0" w:after="0" w:afterLines="0"/>
    </w:pPr>
    <w:rPr>
      <w:rFonts w:ascii="宋体" w:eastAsia="宋体"/>
      <w:szCs w:val="21"/>
    </w:rPr>
  </w:style>
  <w:style w:type="paragraph" w:customStyle="1" w:styleId="11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7">
    <w:name w:val="附录四级无"/>
    <w:basedOn w:val="83"/>
    <w:qFormat/>
    <w:uiPriority w:val="0"/>
    <w:pPr>
      <w:tabs>
        <w:tab w:val="clear" w:pos="360"/>
      </w:tabs>
      <w:spacing w:before="0" w:beforeLines="0" w:after="0" w:afterLines="0"/>
    </w:pPr>
    <w:rPr>
      <w:rFonts w:ascii="宋体" w:eastAsia="宋体"/>
      <w:szCs w:val="21"/>
    </w:rPr>
  </w:style>
  <w:style w:type="paragraph" w:customStyle="1" w:styleId="118">
    <w:name w:val="图标脚注说明"/>
    <w:basedOn w:val="21"/>
    <w:qFormat/>
    <w:uiPriority w:val="0"/>
    <w:pPr>
      <w:ind w:left="840" w:hanging="420" w:firstLineChars="0"/>
    </w:pPr>
    <w:rPr>
      <w:sz w:val="18"/>
      <w:szCs w:val="18"/>
    </w:rPr>
  </w:style>
  <w:style w:type="paragraph" w:customStyle="1" w:styleId="119">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12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1">
    <w:name w:val="其他发布部门"/>
    <w:basedOn w:val="82"/>
    <w:qFormat/>
    <w:uiPriority w:val="0"/>
    <w:pPr>
      <w:framePr w:wrap="around" w:y="15310"/>
      <w:spacing w:line="0" w:lineRule="atLeast"/>
    </w:pPr>
    <w:rPr>
      <w:rFonts w:ascii="黑体" w:eastAsia="黑体"/>
      <w:b w:val="0"/>
    </w:rPr>
  </w:style>
  <w:style w:type="paragraph" w:customStyle="1" w:styleId="122">
    <w:name w:val="三级无"/>
    <w:basedOn w:val="49"/>
    <w:qFormat/>
    <w:uiPriority w:val="0"/>
    <w:pPr>
      <w:spacing w:before="0" w:beforeLines="0" w:after="0" w:afterLines="0"/>
    </w:pPr>
    <w:rPr>
      <w:rFonts w:ascii="宋体" w:eastAsia="宋体"/>
    </w:rPr>
  </w:style>
  <w:style w:type="paragraph" w:customStyle="1" w:styleId="123">
    <w:name w:val="示例后文字"/>
    <w:basedOn w:val="21"/>
    <w:next w:val="21"/>
    <w:qFormat/>
    <w:uiPriority w:val="0"/>
    <w:pPr>
      <w:ind w:firstLine="360"/>
    </w:pPr>
    <w:rPr>
      <w:sz w:val="18"/>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25">
    <w:name w:val="五级无"/>
    <w:basedOn w:val="79"/>
    <w:qFormat/>
    <w:uiPriority w:val="0"/>
    <w:pPr>
      <w:spacing w:before="0" w:beforeLines="0" w:after="0" w:afterLines="0"/>
    </w:pPr>
    <w:rPr>
      <w:rFonts w:ascii="宋体" w:eastAsia="宋体"/>
    </w:rPr>
  </w:style>
  <w:style w:type="paragraph" w:customStyle="1" w:styleId="126">
    <w:name w:val="一级无"/>
    <w:basedOn w:val="51"/>
    <w:qFormat/>
    <w:uiPriority w:val="0"/>
    <w:pPr>
      <w:spacing w:before="0" w:beforeLines="0" w:after="0" w:afterLines="0"/>
    </w:pPr>
    <w:rPr>
      <w:rFonts w:ascii="宋体" w:eastAsia="宋体"/>
    </w:rPr>
  </w:style>
  <w:style w:type="paragraph" w:customStyle="1" w:styleId="127">
    <w:name w:val="正文表标题"/>
    <w:next w:val="21"/>
    <w:qFormat/>
    <w:uiPriority w:val="0"/>
    <w:pPr>
      <w:tabs>
        <w:tab w:val="left" w:pos="360"/>
      </w:tabs>
      <w:spacing w:before="156" w:beforeLines="50" w:after="156" w:afterLines="50"/>
      <w:jc w:val="center"/>
    </w:pPr>
    <w:rPr>
      <w:rFonts w:ascii="黑体" w:hAnsi="Calibri" w:eastAsia="黑体" w:cs="Times New Roman"/>
      <w:sz w:val="21"/>
      <w:lang w:val="en-US" w:eastAsia="zh-CN" w:bidi="ar-SA"/>
    </w:rPr>
  </w:style>
  <w:style w:type="paragraph" w:customStyle="1" w:styleId="128">
    <w:name w:val="正文公式编号制表符"/>
    <w:basedOn w:val="21"/>
    <w:next w:val="21"/>
    <w:qFormat/>
    <w:uiPriority w:val="0"/>
    <w:pPr>
      <w:ind w:firstLine="0" w:firstLineChars="0"/>
    </w:pPr>
  </w:style>
  <w:style w:type="paragraph" w:customStyle="1" w:styleId="129">
    <w:name w:val="正文图标题"/>
    <w:next w:val="21"/>
    <w:qFormat/>
    <w:uiPriority w:val="0"/>
    <w:pPr>
      <w:spacing w:before="156" w:beforeLines="50" w:after="156" w:afterLines="50"/>
      <w:jc w:val="center"/>
    </w:pPr>
    <w:rPr>
      <w:rFonts w:ascii="黑体" w:hAnsi="Calibri" w:eastAsia="黑体" w:cs="Times New Roman"/>
      <w:sz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其他发布日期"/>
    <w:basedOn w:val="64"/>
    <w:qFormat/>
    <w:uiPriority w:val="0"/>
    <w:pPr>
      <w:framePr w:wrap="around" w:vAnchor="page" w:hAnchor="text" w:x="1419"/>
    </w:pPr>
  </w:style>
  <w:style w:type="paragraph" w:customStyle="1" w:styleId="132">
    <w:name w:val="封面标准名称2"/>
    <w:basedOn w:val="47"/>
    <w:qFormat/>
    <w:uiPriority w:val="0"/>
    <w:pPr>
      <w:framePr w:wrap="around" w:y="4469"/>
      <w:spacing w:before="630" w:beforeLines="630"/>
    </w:pPr>
  </w:style>
  <w:style w:type="paragraph" w:customStyle="1" w:styleId="133">
    <w:name w:val="封面标准文稿类别2"/>
    <w:basedOn w:val="53"/>
    <w:qFormat/>
    <w:uiPriority w:val="0"/>
    <w:pPr>
      <w:framePr w:wrap="around" w:y="4469"/>
    </w:pPr>
  </w:style>
  <w:style w:type="paragraph" w:customStyle="1" w:styleId="13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35">
    <w:name w:val="批注框文本 Char"/>
    <w:link w:val="14"/>
    <w:qFormat/>
    <w:uiPriority w:val="0"/>
    <w:rPr>
      <w:kern w:val="2"/>
      <w:sz w:val="18"/>
      <w:szCs w:val="18"/>
    </w:rPr>
  </w:style>
  <w:style w:type="paragraph" w:customStyle="1" w:styleId="136">
    <w:name w:val="防治技术规范-1级标题"/>
    <w:next w:val="1"/>
    <w:qFormat/>
    <w:uiPriority w:val="0"/>
    <w:pPr>
      <w:spacing w:line="360" w:lineRule="auto"/>
      <w:ind w:firstLine="640" w:firstLineChars="200"/>
      <w:outlineLvl w:val="0"/>
    </w:pPr>
    <w:rPr>
      <w:rFonts w:ascii="Times New Roman" w:hAnsi="Times New Roman" w:eastAsia="黑体" w:cs="仿宋"/>
      <w:kern w:val="2"/>
      <w:sz w:val="32"/>
      <w:szCs w:val="32"/>
      <w:lang w:val="en-US" w:eastAsia="zh-CN" w:bidi="ar-SA"/>
    </w:rPr>
  </w:style>
  <w:style w:type="paragraph" w:customStyle="1" w:styleId="137">
    <w:name w:val="防治技术规范-正文"/>
    <w:qFormat/>
    <w:uiPriority w:val="0"/>
    <w:pPr>
      <w:spacing w:line="360" w:lineRule="auto"/>
      <w:ind w:firstLine="640" w:firstLineChars="200"/>
    </w:pPr>
    <w:rPr>
      <w:rFonts w:ascii="Times New Roman" w:hAnsi="Times New Roman" w:eastAsia="仿宋_GB2312" w:cs="Times New Roman"/>
      <w:kern w:val="2"/>
      <w:sz w:val="32"/>
      <w:szCs w:val="32"/>
      <w:lang w:val="en-US" w:eastAsia="zh-CN" w:bidi="ar-SA"/>
    </w:rPr>
  </w:style>
  <w:style w:type="paragraph" w:customStyle="1" w:styleId="138">
    <w:name w:val="防治技术规范-3级标题"/>
    <w:qFormat/>
    <w:uiPriority w:val="0"/>
    <w:pPr>
      <w:spacing w:line="360" w:lineRule="auto"/>
      <w:ind w:firstLine="643" w:firstLineChars="200"/>
    </w:pPr>
    <w:rPr>
      <w:rFonts w:ascii="Times New Roman" w:hAnsi="Times New Roman" w:eastAsia="仿宋_GB2312" w:cs="仿宋"/>
      <w:b/>
      <w:kern w:val="2"/>
      <w:sz w:val="32"/>
      <w:szCs w:val="3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7</Pages>
  <Words>389</Words>
  <Characters>2222</Characters>
  <Lines>18</Lines>
  <Paragraphs>5</Paragraphs>
  <TotalTime>154</TotalTime>
  <ScaleCrop>false</ScaleCrop>
  <LinksUpToDate>false</LinksUpToDate>
  <CharactersWithSpaces>2606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2022-01-06T08:59:00Z</dcterms:created>
  <dc:creator>CNIS</dc:creator>
  <cp:lastModifiedBy>于宁卫</cp:lastModifiedBy>
  <cp:lastPrinted>2022-06-14T09:18:00Z</cp:lastPrinted>
  <dcterms:modified xsi:type="dcterms:W3CDTF">2026-03-18T17:03:34Z</dcterms:modified>
  <dc:title>标准名称</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A51252F020EE464D92D31DDA41801B12</vt:lpwstr>
  </property>
</Properties>
</file>