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D1" w:rsidRDefault="00871ED1" w:rsidP="00871E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871ED1" w:rsidRDefault="00871ED1" w:rsidP="00871ED1">
      <w:pPr>
        <w:pStyle w:val="a3"/>
        <w:spacing w:after="0"/>
        <w:rPr>
          <w:rFonts w:ascii="华文中宋" w:hAnsi="华文中宋" w:cs="华文中宋" w:hint="eastAsia"/>
          <w:sz w:val="36"/>
          <w:szCs w:val="36"/>
        </w:rPr>
      </w:pPr>
      <w:r>
        <w:rPr>
          <w:rFonts w:ascii="华文中宋" w:hAnsi="华文中宋" w:cs="华文中宋" w:hint="eastAsia"/>
          <w:sz w:val="36"/>
          <w:szCs w:val="36"/>
        </w:rPr>
        <w:t>非洲猪瘟病毒</w:t>
      </w:r>
      <w:proofErr w:type="gramStart"/>
      <w:r>
        <w:rPr>
          <w:rFonts w:ascii="华文中宋" w:hAnsi="华文中宋" w:cs="华文中宋" w:hint="eastAsia"/>
          <w:sz w:val="36"/>
          <w:szCs w:val="36"/>
        </w:rPr>
        <w:t>流行株与基因</w:t>
      </w:r>
      <w:proofErr w:type="gramEnd"/>
      <w:r>
        <w:rPr>
          <w:rFonts w:ascii="华文中宋" w:hAnsi="华文中宋" w:cs="华文中宋" w:hint="eastAsia"/>
          <w:sz w:val="36"/>
          <w:szCs w:val="36"/>
        </w:rPr>
        <w:t>缺失株鉴别检测规范</w:t>
      </w:r>
    </w:p>
    <w:p w:rsidR="00871ED1" w:rsidRDefault="00871ED1" w:rsidP="00871ED1">
      <w:pPr>
        <w:spacing w:beforeLines="50"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本规范适用于非洲猪瘟病毒流行毒株与非洲猪瘟病毒</w:t>
      </w:r>
      <w:r>
        <w:rPr>
          <w:rFonts w:ascii="Times New Roman" w:eastAsia="仿宋_GB2312" w:hAnsi="Times New Roman" w:cs="Times New Roman"/>
          <w:sz w:val="32"/>
          <w:szCs w:val="32"/>
        </w:rPr>
        <w:t>CD2v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MGF 360-505R</w:t>
      </w:r>
      <w:r>
        <w:rPr>
          <w:rFonts w:ascii="Times New Roman" w:eastAsia="仿宋_GB2312" w:hAnsi="Times New Roman" w:cs="Times New Roman"/>
          <w:sz w:val="32"/>
          <w:szCs w:val="32"/>
        </w:rPr>
        <w:t>基因缺失株的荧光</w:t>
      </w:r>
      <w:r>
        <w:rPr>
          <w:rFonts w:ascii="Times New Roman" w:eastAsia="仿宋_GB2312" w:hAnsi="Times New Roman" w:cs="Times New Roman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sz w:val="32"/>
          <w:szCs w:val="32"/>
        </w:rPr>
        <w:t>方法鉴别检测。</w:t>
      </w:r>
    </w:p>
    <w:p w:rsidR="00871ED1" w:rsidRDefault="00871ED1" w:rsidP="00871ED1">
      <w:pPr>
        <w:pStyle w:val="1"/>
        <w:numPr>
          <w:ilvl w:val="0"/>
          <w:numId w:val="1"/>
        </w:numPr>
        <w:spacing w:before="0" w:after="0" w:line="640" w:lineRule="exact"/>
        <w:rPr>
          <w:rFonts w:ascii="Times New Roman" w:eastAsia="仿宋_GB2312" w:hAnsi="Times New Roman" w:cs="Times New Roman"/>
          <w:b/>
          <w:bCs w:val="0"/>
          <w:sz w:val="32"/>
          <w:szCs w:val="32"/>
        </w:rPr>
      </w:pPr>
      <w:bookmarkStart w:id="0" w:name="_Toc11070177"/>
      <w:bookmarkStart w:id="1" w:name="_Toc11071441"/>
      <w:r>
        <w:rPr>
          <w:rFonts w:ascii="Times New Roman" w:eastAsia="仿宋_GB2312" w:hAnsi="Times New Roman" w:cs="Times New Roman"/>
          <w:b/>
          <w:bCs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 w:val="0"/>
          <w:sz w:val="32"/>
          <w:szCs w:val="32"/>
        </w:rPr>
        <w:t>主要试剂</w:t>
      </w:r>
    </w:p>
    <w:p w:rsidR="00871ED1" w:rsidRDefault="00871ED1" w:rsidP="00871ED1">
      <w:pPr>
        <w:pStyle w:val="a4"/>
        <w:numPr>
          <w:ilvl w:val="1"/>
          <w:numId w:val="2"/>
        </w:numPr>
        <w:spacing w:line="640" w:lineRule="exact"/>
        <w:ind w:left="0" w:firstLine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核酸提取试剂盒。</w:t>
      </w:r>
    </w:p>
    <w:p w:rsidR="00871ED1" w:rsidRDefault="00871ED1" w:rsidP="00871ED1">
      <w:pPr>
        <w:pStyle w:val="a4"/>
        <w:numPr>
          <w:ilvl w:val="1"/>
          <w:numId w:val="2"/>
        </w:numPr>
        <w:spacing w:line="640" w:lineRule="exact"/>
        <w:ind w:left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无核酸酶水。</w:t>
      </w:r>
    </w:p>
    <w:p w:rsidR="00871ED1" w:rsidRDefault="00871ED1" w:rsidP="00871ED1">
      <w:pPr>
        <w:pStyle w:val="a4"/>
        <w:numPr>
          <w:ilvl w:val="1"/>
          <w:numId w:val="2"/>
        </w:numPr>
        <w:spacing w:line="640" w:lineRule="exact"/>
        <w:ind w:left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荧光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预混液（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871ED1" w:rsidRDefault="00871ED1" w:rsidP="00871ED1">
      <w:pPr>
        <w:numPr>
          <w:ilvl w:val="1"/>
          <w:numId w:val="2"/>
        </w:numPr>
        <w:spacing w:line="640" w:lineRule="exact"/>
        <w:ind w:left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引物和探针：</w:t>
      </w:r>
      <w:r>
        <w:rPr>
          <w:rFonts w:ascii="Times New Roman" w:eastAsia="仿宋_GB2312" w:hAnsi="Times New Roman" w:cs="Times New Roman"/>
          <w:sz w:val="32"/>
          <w:szCs w:val="32"/>
        </w:rPr>
        <w:t>P72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CD2v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MGF360-505R</w:t>
      </w:r>
      <w:r>
        <w:rPr>
          <w:rFonts w:ascii="Times New Roman" w:eastAsia="仿宋_GB2312" w:hAnsi="Times New Roman" w:cs="Times New Roman"/>
          <w:sz w:val="32"/>
          <w:szCs w:val="32"/>
        </w:rPr>
        <w:t>基因扩增引物和探针</w:t>
      </w:r>
      <w:bookmarkStart w:id="2" w:name="_Hlk46924466"/>
      <w:r>
        <w:rPr>
          <w:rFonts w:ascii="Times New Roman" w:eastAsia="仿宋_GB2312" w:hAnsi="Times New Roman" w:cs="Times New Roman"/>
          <w:sz w:val="32"/>
          <w:szCs w:val="32"/>
        </w:rPr>
        <w:t>由国家非洲猪瘟参考实验室设计并提供</w:t>
      </w:r>
      <w:bookmarkEnd w:id="2"/>
      <w:r>
        <w:rPr>
          <w:rFonts w:ascii="Times New Roman" w:eastAsia="仿宋_GB2312" w:hAnsi="Times New Roman" w:cs="Times New Roman"/>
          <w:sz w:val="32"/>
          <w:szCs w:val="32"/>
        </w:rPr>
        <w:t>（联系人：李林，电话：</w:t>
      </w:r>
      <w:r>
        <w:rPr>
          <w:rFonts w:ascii="Times New Roman" w:eastAsia="仿宋_GB2312" w:hAnsi="Times New Roman" w:cs="Times New Roman"/>
          <w:sz w:val="32"/>
          <w:szCs w:val="32"/>
        </w:rPr>
        <w:t>0532-87839188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871ED1" w:rsidRDefault="00871ED1" w:rsidP="00871ED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1.5 </w:t>
      </w:r>
      <w:r>
        <w:rPr>
          <w:rFonts w:ascii="Times New Roman" w:eastAsia="仿宋_GB2312" w:hAnsi="Times New Roman" w:cs="Times New Roman"/>
          <w:sz w:val="32"/>
          <w:szCs w:val="32"/>
        </w:rPr>
        <w:t>阳性和阴性对照：阳性对照样品为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</w:rPr>
        <w:t>基因组</w:t>
      </w:r>
      <w:r>
        <w:rPr>
          <w:rFonts w:ascii="Times New Roman" w:eastAsia="仿宋_GB2312" w:hAnsi="Times New Roman" w:cs="Times New Roman"/>
          <w:sz w:val="32"/>
          <w:szCs w:val="32"/>
        </w:rPr>
        <w:t>DNA</w:t>
      </w:r>
      <w:r>
        <w:rPr>
          <w:rFonts w:ascii="Times New Roman" w:eastAsia="仿宋_GB2312" w:hAnsi="Times New Roman" w:cs="Times New Roman"/>
          <w:sz w:val="32"/>
          <w:szCs w:val="32"/>
        </w:rPr>
        <w:t>标准物质（用无核酸酶水稀释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倍后使用），由国家非洲猪瘟参考实验室提供；阴性对照样品为无核酸酶水。</w:t>
      </w:r>
    </w:p>
    <w:p w:rsidR="00871ED1" w:rsidRDefault="00871ED1" w:rsidP="00871ED1">
      <w:pPr>
        <w:spacing w:line="6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2.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主要仪器设备</w:t>
      </w:r>
    </w:p>
    <w:p w:rsidR="00871ED1" w:rsidRDefault="00871ED1" w:rsidP="00871ED1">
      <w:pPr>
        <w:pStyle w:val="a4"/>
        <w:spacing w:line="640" w:lineRule="exact"/>
        <w:ind w:firstLine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2.1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荧光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扩增仪。</w:t>
      </w:r>
    </w:p>
    <w:p w:rsidR="00871ED1" w:rsidRDefault="00871ED1" w:rsidP="00871ED1">
      <w:pPr>
        <w:pStyle w:val="a4"/>
        <w:spacing w:line="640" w:lineRule="exact"/>
        <w:ind w:firstLine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2.2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台式低温高速离心机。</w:t>
      </w:r>
    </w:p>
    <w:p w:rsidR="00871ED1" w:rsidRDefault="00871ED1" w:rsidP="00871ED1">
      <w:pPr>
        <w:pStyle w:val="a4"/>
        <w:spacing w:line="640" w:lineRule="exact"/>
        <w:ind w:firstLine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2.3 </w:t>
      </w:r>
      <w:r>
        <w:rPr>
          <w:rFonts w:ascii="Times New Roman" w:eastAsia="仿宋_GB2312" w:hAnsi="Times New Roman" w:cs="Times New Roman"/>
          <w:sz w:val="32"/>
          <w:szCs w:val="32"/>
        </w:rPr>
        <w:t>组织匀浆机。</w:t>
      </w:r>
    </w:p>
    <w:p w:rsidR="00871ED1" w:rsidRDefault="00871ED1" w:rsidP="00871ED1">
      <w:pPr>
        <w:pStyle w:val="a4"/>
        <w:spacing w:line="640" w:lineRule="exact"/>
        <w:ind w:firstLine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2.4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微量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可调移液器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2.5 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μL</w:t>
      </w:r>
      <w:proofErr w:type="spellEnd"/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10 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μL</w:t>
      </w:r>
      <w:proofErr w:type="spellEnd"/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100 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μL</w:t>
      </w:r>
      <w:proofErr w:type="spellEnd"/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200 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μL</w:t>
      </w:r>
      <w:proofErr w:type="spellEnd"/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1000 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μL</w:t>
      </w:r>
      <w:proofErr w:type="spell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等不同规格）。</w:t>
      </w:r>
    </w:p>
    <w:p w:rsidR="00871ED1" w:rsidRDefault="00871ED1" w:rsidP="00871ED1">
      <w:pPr>
        <w:pStyle w:val="a4"/>
        <w:spacing w:line="640" w:lineRule="exact"/>
        <w:ind w:firstLine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 xml:space="preserve">2.5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无核酸酶离心管与吸头。</w:t>
      </w:r>
    </w:p>
    <w:p w:rsidR="00871ED1" w:rsidRDefault="00871ED1" w:rsidP="00871ED1">
      <w:pPr>
        <w:pStyle w:val="a4"/>
        <w:spacing w:line="640" w:lineRule="exact"/>
        <w:ind w:firstLine="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2.6  PCR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扩增管。</w:t>
      </w:r>
    </w:p>
    <w:p w:rsidR="00871ED1" w:rsidRDefault="00871ED1" w:rsidP="00871ED1">
      <w:pPr>
        <w:pStyle w:val="a4"/>
        <w:spacing w:line="640" w:lineRule="exact"/>
        <w:ind w:firstLine="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3.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样品采集</w:t>
      </w:r>
      <w:bookmarkEnd w:id="0"/>
      <w:bookmarkEnd w:id="1"/>
      <w:r>
        <w:rPr>
          <w:rFonts w:ascii="Times New Roman" w:eastAsia="仿宋_GB2312" w:hAnsi="Times New Roman" w:cs="Times New Roman"/>
          <w:b/>
          <w:sz w:val="32"/>
          <w:szCs w:val="32"/>
        </w:rPr>
        <w:t>和运输保存</w:t>
      </w:r>
    </w:p>
    <w:p w:rsidR="00871ED1" w:rsidRDefault="00871ED1" w:rsidP="00871ED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对活猪，可采集抗凝全血（</w:t>
      </w:r>
      <w:r>
        <w:rPr>
          <w:rFonts w:ascii="Times New Roman" w:eastAsia="仿宋_GB2312" w:hAnsi="Times New Roman" w:cs="Times New Roman"/>
          <w:sz w:val="32"/>
          <w:szCs w:val="32"/>
        </w:rPr>
        <w:t>EDTA</w:t>
      </w:r>
      <w:r>
        <w:rPr>
          <w:rFonts w:ascii="Times New Roman" w:eastAsia="仿宋_GB2312" w:hAnsi="Times New Roman" w:cs="Times New Roman"/>
          <w:sz w:val="32"/>
          <w:szCs w:val="32"/>
        </w:rPr>
        <w:t>抗凝）、口鼻拭子或血清等；对病死猪或已屠宰猪，可采集脾脏、淋巴结、扁桃体、肝脏等组织。尽快送至实验室进行病毒核酸检测。</w:t>
      </w:r>
    </w:p>
    <w:p w:rsidR="00871ED1" w:rsidRDefault="00871ED1" w:rsidP="00871ED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样品的运送与保存应满足</w:t>
      </w:r>
      <w:r>
        <w:rPr>
          <w:rFonts w:ascii="Times New Roman" w:eastAsia="仿宋_GB2312" w:hAnsi="Times New Roman" w:cs="Times New Roman"/>
          <w:sz w:val="32"/>
          <w:szCs w:val="32"/>
        </w:rPr>
        <w:t>NY/T 541</w:t>
      </w:r>
      <w:r>
        <w:rPr>
          <w:rFonts w:ascii="Times New Roman" w:eastAsia="仿宋_GB2312" w:hAnsi="Times New Roman" w:cs="Times New Roman"/>
          <w:sz w:val="32"/>
          <w:szCs w:val="32"/>
        </w:rPr>
        <w:t>《兽医诊断样品采集、保存与运输技术规范》相关要求。上述样品可在</w:t>
      </w:r>
      <w:r>
        <w:rPr>
          <w:rFonts w:ascii="Times New Roman" w:eastAsia="仿宋_GB2312" w:hAnsi="Times New Roman" w:cs="Times New Roman"/>
          <w:sz w:val="32"/>
          <w:szCs w:val="32"/>
        </w:rPr>
        <w:t>4°C</w:t>
      </w:r>
      <w:r>
        <w:rPr>
          <w:rFonts w:ascii="Times New Roman" w:eastAsia="仿宋_GB2312" w:hAnsi="Times New Roman" w:cs="Times New Roman"/>
          <w:sz w:val="32"/>
          <w:szCs w:val="32"/>
        </w:rPr>
        <w:t>最长保存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天；如需长时间保存，应置于</w:t>
      </w:r>
      <w:r>
        <w:rPr>
          <w:rFonts w:ascii="Times New Roman" w:eastAsia="仿宋_GB2312" w:hAnsi="Times New Roman" w:cs="Times New Roman"/>
          <w:sz w:val="32"/>
          <w:szCs w:val="32"/>
        </w:rPr>
        <w:t>-20°C</w:t>
      </w:r>
      <w:r>
        <w:rPr>
          <w:rFonts w:ascii="Times New Roman" w:eastAsia="仿宋_GB2312" w:hAnsi="Times New Roman" w:cs="Times New Roman"/>
          <w:sz w:val="32"/>
          <w:szCs w:val="32"/>
        </w:rPr>
        <w:t>以下。</w:t>
      </w:r>
    </w:p>
    <w:p w:rsidR="00871ED1" w:rsidRDefault="00871ED1" w:rsidP="00871ED1">
      <w:pPr>
        <w:pStyle w:val="1"/>
        <w:numPr>
          <w:ilvl w:val="0"/>
          <w:numId w:val="3"/>
        </w:numPr>
        <w:spacing w:before="0" w:after="0" w:line="640" w:lineRule="exact"/>
        <w:rPr>
          <w:rFonts w:ascii="Times New Roman" w:eastAsia="仿宋_GB2312" w:hAnsi="Times New Roman" w:cs="Times New Roman"/>
          <w:b/>
          <w:bCs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 w:val="0"/>
          <w:sz w:val="32"/>
          <w:szCs w:val="32"/>
        </w:rPr>
        <w:t>样品处理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4.1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组织样品</w:t>
      </w:r>
    </w:p>
    <w:p w:rsidR="00871ED1" w:rsidRDefault="00871ED1" w:rsidP="00871ED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取</w:t>
      </w:r>
      <w:r>
        <w:rPr>
          <w:rFonts w:ascii="Times New Roman" w:eastAsia="仿宋_GB2312" w:hAnsi="Times New Roman" w:cs="Times New Roman"/>
          <w:sz w:val="32"/>
          <w:szCs w:val="32"/>
        </w:rPr>
        <w:t>0.1 g</w:t>
      </w:r>
      <w:r>
        <w:rPr>
          <w:rFonts w:ascii="Times New Roman" w:eastAsia="仿宋_GB2312" w:hAnsi="Times New Roman" w:cs="Times New Roman"/>
          <w:sz w:val="32"/>
          <w:szCs w:val="32"/>
        </w:rPr>
        <w:t>～</w:t>
      </w:r>
      <w:r>
        <w:rPr>
          <w:rFonts w:ascii="Times New Roman" w:eastAsia="仿宋_GB2312" w:hAnsi="Times New Roman" w:cs="Times New Roman"/>
          <w:sz w:val="32"/>
          <w:szCs w:val="32"/>
        </w:rPr>
        <w:t>0.2 g</w:t>
      </w:r>
      <w:r>
        <w:rPr>
          <w:rFonts w:ascii="Times New Roman" w:eastAsia="仿宋_GB2312" w:hAnsi="Times New Roman" w:cs="Times New Roman"/>
          <w:sz w:val="32"/>
          <w:szCs w:val="32"/>
        </w:rPr>
        <w:t>样品，加入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1 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mL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～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 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mL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预冷的</w:t>
      </w:r>
      <w:r>
        <w:rPr>
          <w:rFonts w:ascii="Times New Roman" w:eastAsia="仿宋_GB2312" w:hAnsi="Times New Roman" w:cs="Times New Roman"/>
          <w:sz w:val="32"/>
          <w:szCs w:val="32"/>
        </w:rPr>
        <w:t>PBS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pH 7.4</w:t>
      </w:r>
      <w:r>
        <w:rPr>
          <w:rFonts w:ascii="Times New Roman" w:eastAsia="仿宋_GB2312" w:hAnsi="Times New Roman" w:cs="Times New Roman"/>
          <w:sz w:val="32"/>
          <w:szCs w:val="32"/>
        </w:rPr>
        <w:t>），用组织匀浆机高速匀浆，制成</w:t>
      </w:r>
      <w:r>
        <w:rPr>
          <w:rFonts w:ascii="Times New Roman" w:eastAsia="仿宋_GB2312" w:hAnsi="Times New Roman" w:cs="Times New Roman"/>
          <w:sz w:val="32"/>
          <w:szCs w:val="32"/>
        </w:rPr>
        <w:t>10%</w:t>
      </w:r>
      <w:r>
        <w:rPr>
          <w:rFonts w:ascii="Times New Roman" w:eastAsia="仿宋_GB2312" w:hAnsi="Times New Roman" w:cs="Times New Roman"/>
          <w:sz w:val="32"/>
          <w:szCs w:val="32"/>
        </w:rPr>
        <w:t>组织匀浆液，以</w:t>
      </w:r>
      <w:r>
        <w:rPr>
          <w:rFonts w:ascii="Times New Roman" w:eastAsia="仿宋_GB2312" w:hAnsi="Times New Roman" w:cs="Times New Roman"/>
          <w:sz w:val="32"/>
          <w:szCs w:val="32"/>
        </w:rPr>
        <w:t>5000 r/min</w:t>
      </w:r>
      <w:r>
        <w:rPr>
          <w:rFonts w:ascii="Times New Roman" w:eastAsia="仿宋_GB2312" w:hAnsi="Times New Roman" w:cs="Times New Roman"/>
          <w:sz w:val="32"/>
          <w:szCs w:val="32"/>
        </w:rPr>
        <w:t>离心</w:t>
      </w:r>
      <w:r>
        <w:rPr>
          <w:rFonts w:ascii="Times New Roman" w:eastAsia="仿宋_GB2312" w:hAnsi="Times New Roman" w:cs="Times New Roman"/>
          <w:sz w:val="32"/>
          <w:szCs w:val="32"/>
        </w:rPr>
        <w:t>10 min</w:t>
      </w:r>
      <w:r>
        <w:rPr>
          <w:rFonts w:ascii="Times New Roman" w:eastAsia="仿宋_GB2312" w:hAnsi="Times New Roman" w:cs="Times New Roman"/>
          <w:sz w:val="32"/>
          <w:szCs w:val="32"/>
        </w:rPr>
        <w:t>，取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200 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μL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上清液进行核酸提取。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bookmarkStart w:id="3" w:name="_Toc11071460"/>
      <w:bookmarkStart w:id="4" w:name="_Toc11070196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4.2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液体样品</w:t>
      </w:r>
    </w:p>
    <w:p w:rsidR="00871ED1" w:rsidRDefault="00871ED1" w:rsidP="00871ED1">
      <w:pPr>
        <w:spacing w:line="640" w:lineRule="exact"/>
        <w:ind w:firstLine="56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抗凝全血、血清等液体样品不需进行特殊处理，直接取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200 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μL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进行核酸提取。</w:t>
      </w:r>
      <w:bookmarkEnd w:id="3"/>
      <w:bookmarkEnd w:id="4"/>
    </w:p>
    <w:p w:rsidR="00871ED1" w:rsidRDefault="00871ED1" w:rsidP="00871ED1">
      <w:pPr>
        <w:pStyle w:val="1"/>
        <w:numPr>
          <w:ilvl w:val="0"/>
          <w:numId w:val="3"/>
        </w:numPr>
        <w:spacing w:before="0" w:after="0" w:line="640" w:lineRule="exact"/>
        <w:rPr>
          <w:rFonts w:ascii="Times New Roman" w:eastAsia="仿宋_GB2312" w:hAnsi="Times New Roman" w:cs="Times New Roman"/>
          <w:b/>
          <w:bCs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 w:val="0"/>
          <w:sz w:val="32"/>
          <w:szCs w:val="32"/>
        </w:rPr>
        <w:t>病毒核酸的提取和纯化</w:t>
      </w:r>
    </w:p>
    <w:p w:rsidR="00871ED1" w:rsidRDefault="00871ED1" w:rsidP="00871ED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取已进行前处理的样品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200 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μL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，可按传统方法提取病毒核酸，也可采用病毒核酸提取试剂盒、自动化核酸提取仪提取病毒核酸。提取后的病毒核酸应立即使用或置于</w:t>
      </w:r>
      <w:r>
        <w:rPr>
          <w:rFonts w:ascii="Times New Roman" w:eastAsia="仿宋_GB2312" w:hAnsi="Times New Roman" w:cs="Times New Roman"/>
          <w:sz w:val="32"/>
          <w:szCs w:val="32"/>
        </w:rPr>
        <w:t>-20°C</w:t>
      </w: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下冷冻保存。每次抽提核酸，应包括一个阳性对照样品和一个阴性对照样品。</w:t>
      </w:r>
    </w:p>
    <w:p w:rsidR="00871ED1" w:rsidRDefault="00871ED1" w:rsidP="00871ED1">
      <w:pPr>
        <w:pStyle w:val="1"/>
        <w:spacing w:before="0" w:after="0" w:line="640" w:lineRule="exact"/>
        <w:rPr>
          <w:rFonts w:ascii="Times New Roman" w:eastAsia="仿宋_GB2312" w:hAnsi="Times New Roman" w:cs="Times New Roman"/>
          <w:b/>
          <w:bCs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 w:val="0"/>
          <w:sz w:val="32"/>
          <w:szCs w:val="32"/>
        </w:rPr>
        <w:t xml:space="preserve">6.  </w:t>
      </w:r>
      <w:r>
        <w:rPr>
          <w:rFonts w:ascii="Times New Roman" w:eastAsia="仿宋_GB2312" w:hAnsi="Times New Roman" w:cs="Times New Roman"/>
          <w:b/>
          <w:bCs w:val="0"/>
          <w:sz w:val="32"/>
          <w:szCs w:val="32"/>
        </w:rPr>
        <w:t>荧光</w:t>
      </w:r>
      <w:r>
        <w:rPr>
          <w:rFonts w:ascii="Times New Roman" w:eastAsia="仿宋_GB2312" w:hAnsi="Times New Roman" w:cs="Times New Roman"/>
          <w:b/>
          <w:bCs w:val="0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b/>
          <w:bCs w:val="0"/>
          <w:sz w:val="32"/>
          <w:szCs w:val="32"/>
        </w:rPr>
        <w:t>检测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6.1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荧光</w:t>
      </w:r>
      <w:r>
        <w:rPr>
          <w:rFonts w:ascii="Times New Roman" w:eastAsia="仿宋_GB2312" w:hAnsi="Times New Roman" w:cs="Times New Roman"/>
          <w:b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反应液制备</w:t>
      </w:r>
    </w:p>
    <w:p w:rsidR="00871ED1" w:rsidRDefault="00871ED1" w:rsidP="00871ED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在灭菌的离心管中制备符合检测样品数量（包括阳性、阴性对照）要求的荧光</w:t>
      </w:r>
      <w:r>
        <w:rPr>
          <w:rFonts w:ascii="Times New Roman" w:eastAsia="仿宋_GB2312" w:hAnsi="Times New Roman" w:cs="Times New Roman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sz w:val="32"/>
          <w:szCs w:val="32"/>
        </w:rPr>
        <w:t>反应混合液，至少额外制备两个样品的量。每个样品配制</w:t>
      </w:r>
      <w:r>
        <w:rPr>
          <w:rFonts w:ascii="Times New Roman" w:eastAsia="仿宋_GB2312" w:hAnsi="Times New Roman" w:cs="Times New Roman"/>
          <w:sz w:val="32"/>
          <w:szCs w:val="32"/>
        </w:rPr>
        <w:t>20 µL PCR</w:t>
      </w:r>
      <w:r>
        <w:rPr>
          <w:rFonts w:ascii="Times New Roman" w:eastAsia="仿宋_GB2312" w:hAnsi="Times New Roman" w:cs="Times New Roman"/>
          <w:sz w:val="32"/>
          <w:szCs w:val="32"/>
        </w:rPr>
        <w:t>反应混合液，组成如下：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7.5 </w:t>
      </w:r>
      <w:r>
        <w:rPr>
          <w:rFonts w:ascii="Times New Roman" w:eastAsia="仿宋_GB2312" w:hAnsi="Times New Roman" w:cs="Times New Roman"/>
          <w:sz w:val="32"/>
          <w:szCs w:val="32"/>
        </w:rPr>
        <w:sym w:font="Symbol" w:char="F06D"/>
      </w:r>
      <w:r>
        <w:rPr>
          <w:rFonts w:ascii="Times New Roman" w:eastAsia="仿宋_GB2312" w:hAnsi="Times New Roman" w:cs="Times New Roman"/>
          <w:sz w:val="32"/>
          <w:szCs w:val="32"/>
        </w:rPr>
        <w:t>L P72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CD2v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MGF360-505R</w:t>
      </w:r>
      <w:r>
        <w:rPr>
          <w:rFonts w:ascii="Times New Roman" w:eastAsia="仿宋_GB2312" w:hAnsi="Times New Roman" w:cs="Times New Roman"/>
          <w:sz w:val="32"/>
          <w:szCs w:val="32"/>
        </w:rPr>
        <w:t>基因引物、探针预混液（</w:t>
      </w:r>
      <w:bookmarkStart w:id="5" w:name="_Hlk46948705"/>
      <w:r>
        <w:rPr>
          <w:rFonts w:ascii="Times New Roman" w:eastAsia="仿宋_GB2312" w:hAnsi="Times New Roman" w:cs="Times New Roman"/>
          <w:sz w:val="32"/>
          <w:szCs w:val="32"/>
        </w:rPr>
        <w:t>P72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CD2v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MGF360-505R</w:t>
      </w:r>
      <w:r>
        <w:rPr>
          <w:rFonts w:ascii="Times New Roman" w:eastAsia="仿宋_GB2312" w:hAnsi="Times New Roman" w:cs="Times New Roman"/>
          <w:sz w:val="32"/>
          <w:szCs w:val="32"/>
        </w:rPr>
        <w:t>基因探针</w:t>
      </w:r>
      <w:bookmarkEnd w:id="5"/>
      <w:r>
        <w:rPr>
          <w:rFonts w:ascii="Times New Roman" w:eastAsia="仿宋_GB2312" w:hAnsi="Times New Roman" w:cs="Times New Roman"/>
          <w:sz w:val="32"/>
          <w:szCs w:val="32"/>
        </w:rPr>
        <w:t>分别用</w:t>
      </w:r>
      <w:r>
        <w:rPr>
          <w:rFonts w:ascii="Times New Roman" w:eastAsia="仿宋_GB2312" w:hAnsi="Times New Roman" w:cs="Times New Roman"/>
          <w:sz w:val="32"/>
          <w:szCs w:val="32"/>
        </w:rPr>
        <w:t>FAM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VIC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Cy5</w:t>
      </w:r>
      <w:r>
        <w:rPr>
          <w:rFonts w:ascii="Times New Roman" w:eastAsia="仿宋_GB2312" w:hAnsi="Times New Roman" w:cs="Times New Roman"/>
          <w:sz w:val="32"/>
          <w:szCs w:val="32"/>
        </w:rPr>
        <w:t>进行标记）、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12.5 </w:t>
      </w:r>
      <w:r>
        <w:rPr>
          <w:rFonts w:ascii="Times New Roman" w:eastAsia="仿宋_GB2312" w:hAnsi="Times New Roman" w:cs="Times New Roman"/>
          <w:sz w:val="32"/>
          <w:szCs w:val="32"/>
        </w:rPr>
        <w:sym w:font="Symbol" w:char="F06D"/>
      </w:r>
      <w:r>
        <w:rPr>
          <w:rFonts w:ascii="Times New Roman" w:eastAsia="仿宋_GB2312" w:hAnsi="Times New Roman" w:cs="Times New Roman"/>
          <w:sz w:val="32"/>
          <w:szCs w:val="32"/>
        </w:rPr>
        <w:t>L 2×</w:t>
      </w:r>
      <w:r>
        <w:rPr>
          <w:rFonts w:ascii="Times New Roman" w:eastAsia="仿宋_GB2312" w:hAnsi="Times New Roman" w:cs="Times New Roman"/>
          <w:sz w:val="32"/>
          <w:szCs w:val="32"/>
        </w:rPr>
        <w:t>探针法荧光</w:t>
      </w:r>
      <w:r>
        <w:rPr>
          <w:rFonts w:ascii="Times New Roman" w:eastAsia="仿宋_GB2312" w:hAnsi="Times New Roman" w:cs="Times New Roman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sz w:val="32"/>
          <w:szCs w:val="32"/>
        </w:rPr>
        <w:t>预混液。</w:t>
      </w:r>
    </w:p>
    <w:p w:rsidR="00871ED1" w:rsidRDefault="00871ED1" w:rsidP="00871ED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分别取</w:t>
      </w:r>
      <w:r>
        <w:rPr>
          <w:rFonts w:ascii="Times New Roman" w:eastAsia="仿宋_GB2312" w:hAnsi="Times New Roman" w:cs="Times New Roman"/>
          <w:sz w:val="32"/>
          <w:szCs w:val="32"/>
        </w:rPr>
        <w:t>20 µL PCR</w:t>
      </w:r>
      <w:r>
        <w:rPr>
          <w:rFonts w:ascii="Times New Roman" w:eastAsia="仿宋_GB2312" w:hAnsi="Times New Roman" w:cs="Times New Roman"/>
          <w:sz w:val="32"/>
          <w:szCs w:val="32"/>
        </w:rPr>
        <w:t>反应混合液加至每个</w:t>
      </w:r>
      <w:r>
        <w:rPr>
          <w:rFonts w:ascii="Times New Roman" w:eastAsia="仿宋_GB2312" w:hAnsi="Times New Roman" w:cs="Times New Roman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sz w:val="32"/>
          <w:szCs w:val="32"/>
        </w:rPr>
        <w:t>扩增管中；再分别取</w:t>
      </w:r>
      <w:r>
        <w:rPr>
          <w:rFonts w:ascii="Times New Roman" w:eastAsia="仿宋_GB2312" w:hAnsi="Times New Roman" w:cs="Times New Roman"/>
          <w:sz w:val="32"/>
          <w:szCs w:val="32"/>
        </w:rPr>
        <w:t>5 µL DNA</w:t>
      </w:r>
      <w:r>
        <w:rPr>
          <w:rFonts w:ascii="Times New Roman" w:eastAsia="仿宋_GB2312" w:hAnsi="Times New Roman" w:cs="Times New Roman"/>
          <w:sz w:val="32"/>
          <w:szCs w:val="32"/>
        </w:rPr>
        <w:t>模板加入到</w:t>
      </w:r>
      <w:r>
        <w:rPr>
          <w:rFonts w:ascii="Times New Roman" w:eastAsia="仿宋_GB2312" w:hAnsi="Times New Roman" w:cs="Times New Roman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sz w:val="32"/>
          <w:szCs w:val="32"/>
        </w:rPr>
        <w:t>扩增管中。每次进行荧光</w:t>
      </w:r>
      <w:r>
        <w:rPr>
          <w:rFonts w:ascii="Times New Roman" w:eastAsia="仿宋_GB2312" w:hAnsi="Times New Roman" w:cs="Times New Roman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sz w:val="32"/>
          <w:szCs w:val="32"/>
        </w:rPr>
        <w:t>扩增时均应设立阳性、阴性对照。阳性对照应用阳性对照样品所提取核酸作为模板，阴性对照应用阴性对照样品所提取核酸作为模板。加入模板后，密封</w:t>
      </w:r>
      <w:r>
        <w:rPr>
          <w:rFonts w:ascii="Times New Roman" w:eastAsia="仿宋_GB2312" w:hAnsi="Times New Roman" w:cs="Times New Roman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sz w:val="32"/>
          <w:szCs w:val="32"/>
        </w:rPr>
        <w:t>扩增管，瞬时离心。将所有</w:t>
      </w:r>
      <w:r>
        <w:rPr>
          <w:rFonts w:ascii="Times New Roman" w:eastAsia="仿宋_GB2312" w:hAnsi="Times New Roman" w:cs="Times New Roman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sz w:val="32"/>
          <w:szCs w:val="32"/>
        </w:rPr>
        <w:t>扩增管放在荧光</w:t>
      </w:r>
      <w:r>
        <w:rPr>
          <w:rFonts w:ascii="Times New Roman" w:eastAsia="仿宋_GB2312" w:hAnsi="Times New Roman" w:cs="Times New Roman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sz w:val="32"/>
          <w:szCs w:val="32"/>
        </w:rPr>
        <w:t>仪中。按下述条件运行扩增程序。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6.2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荧光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扩增条件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50°C</w:t>
      </w:r>
      <w:r>
        <w:rPr>
          <w:rFonts w:ascii="Times New Roman" w:eastAsia="仿宋_GB2312" w:hAnsi="Times New Roman" w:cs="Times New Roman"/>
          <w:sz w:val="32"/>
          <w:szCs w:val="32"/>
        </w:rPr>
        <w:t>孵育</w:t>
      </w:r>
      <w:r>
        <w:rPr>
          <w:rFonts w:ascii="Times New Roman" w:eastAsia="仿宋_GB2312" w:hAnsi="Times New Roman" w:cs="Times New Roman"/>
          <w:sz w:val="32"/>
          <w:szCs w:val="32"/>
        </w:rPr>
        <w:t>2min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95°C</w:t>
      </w:r>
      <w:r>
        <w:rPr>
          <w:rFonts w:ascii="Times New Roman" w:eastAsia="仿宋_GB2312" w:hAnsi="Times New Roman" w:cs="Times New Roman"/>
          <w:sz w:val="32"/>
          <w:szCs w:val="32"/>
        </w:rPr>
        <w:t>预变性</w:t>
      </w:r>
      <w:r>
        <w:rPr>
          <w:rFonts w:ascii="Times New Roman" w:eastAsia="仿宋_GB2312" w:hAnsi="Times New Roman" w:cs="Times New Roman"/>
          <w:sz w:val="32"/>
          <w:szCs w:val="32"/>
        </w:rPr>
        <w:t>5min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95°C</w:t>
      </w:r>
      <w:r>
        <w:rPr>
          <w:rFonts w:ascii="Times New Roman" w:eastAsia="仿宋_GB2312" w:hAnsi="Times New Roman" w:cs="Times New Roman"/>
          <w:sz w:val="32"/>
          <w:szCs w:val="32"/>
        </w:rPr>
        <w:t>变性</w:t>
      </w:r>
      <w:r>
        <w:rPr>
          <w:rFonts w:ascii="Times New Roman" w:eastAsia="仿宋_GB2312" w:hAnsi="Times New Roman" w:cs="Times New Roman"/>
          <w:sz w:val="32"/>
          <w:szCs w:val="32"/>
        </w:rPr>
        <w:t>15s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60°C</w:t>
      </w:r>
      <w:r>
        <w:rPr>
          <w:rFonts w:ascii="Times New Roman" w:eastAsia="仿宋_GB2312" w:hAnsi="Times New Roman" w:cs="Times New Roman"/>
          <w:sz w:val="32"/>
          <w:szCs w:val="32"/>
        </w:rPr>
        <w:t>退火延伸</w:t>
      </w:r>
      <w:r>
        <w:rPr>
          <w:rFonts w:ascii="Times New Roman" w:eastAsia="仿宋_GB2312" w:hAnsi="Times New Roman" w:cs="Times New Roman"/>
          <w:sz w:val="32"/>
          <w:szCs w:val="32"/>
        </w:rPr>
        <w:t>1min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45</w:t>
      </w:r>
      <w:r>
        <w:rPr>
          <w:rFonts w:ascii="Times New Roman" w:eastAsia="仿宋_GB2312" w:hAnsi="Times New Roman" w:cs="Times New Roman"/>
          <w:sz w:val="32"/>
          <w:szCs w:val="32"/>
        </w:rPr>
        <w:t>个循环，在每一循环的</w:t>
      </w:r>
      <w:r>
        <w:rPr>
          <w:rFonts w:ascii="Times New Roman" w:eastAsia="仿宋_GB2312" w:hAnsi="Times New Roman" w:cs="Times New Roman"/>
          <w:sz w:val="32"/>
          <w:szCs w:val="32"/>
        </w:rPr>
        <w:t>60°C</w:t>
      </w:r>
      <w:r>
        <w:rPr>
          <w:rFonts w:ascii="Times New Roman" w:eastAsia="仿宋_GB2312" w:hAnsi="Times New Roman" w:cs="Times New Roman"/>
          <w:sz w:val="32"/>
          <w:szCs w:val="32"/>
        </w:rPr>
        <w:t>时收集</w:t>
      </w:r>
      <w:r>
        <w:rPr>
          <w:rFonts w:ascii="Times New Roman" w:eastAsia="仿宋_GB2312" w:hAnsi="Times New Roman" w:cs="Times New Roman"/>
          <w:sz w:val="32"/>
          <w:szCs w:val="32"/>
        </w:rPr>
        <w:t>FAM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VIC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Cy5</w:t>
      </w:r>
      <w:r>
        <w:rPr>
          <w:rFonts w:ascii="Times New Roman" w:eastAsia="仿宋_GB2312" w:hAnsi="Times New Roman" w:cs="Times New Roman"/>
          <w:sz w:val="32"/>
          <w:szCs w:val="32"/>
        </w:rPr>
        <w:t>通道中的荧光信号。</w:t>
      </w:r>
    </w:p>
    <w:p w:rsidR="00871ED1" w:rsidRDefault="00871ED1" w:rsidP="00871ED1">
      <w:pPr>
        <w:snapToGrid w:val="0"/>
        <w:spacing w:before="156" w:line="6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 xml:space="preserve">6.3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结果分析</w:t>
      </w:r>
    </w:p>
    <w:p w:rsidR="00871ED1" w:rsidRDefault="00871ED1" w:rsidP="00871ED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Ct</w:t>
      </w:r>
      <w:r>
        <w:rPr>
          <w:rFonts w:ascii="Times New Roman" w:eastAsia="仿宋_GB2312" w:hAnsi="Times New Roman" w:cs="Times New Roman"/>
          <w:sz w:val="32"/>
          <w:szCs w:val="32"/>
        </w:rPr>
        <w:t>值由荧光</w:t>
      </w:r>
      <w:r>
        <w:rPr>
          <w:rFonts w:ascii="Times New Roman" w:eastAsia="仿宋_GB2312" w:hAnsi="Times New Roman" w:cs="Times New Roman"/>
          <w:sz w:val="32"/>
          <w:szCs w:val="32"/>
        </w:rPr>
        <w:t>PCR</w:t>
      </w:r>
      <w:r>
        <w:rPr>
          <w:rFonts w:ascii="Times New Roman" w:eastAsia="仿宋_GB2312" w:hAnsi="Times New Roman" w:cs="Times New Roman"/>
          <w:sz w:val="32"/>
          <w:szCs w:val="32"/>
        </w:rPr>
        <w:t>仪的软件自动确定。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6.3.1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试验成立条件</w:t>
      </w:r>
    </w:p>
    <w:p w:rsidR="00871ED1" w:rsidRDefault="00871ED1" w:rsidP="00871ED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阳性对照</w:t>
      </w:r>
      <w:r>
        <w:rPr>
          <w:rFonts w:ascii="Times New Roman" w:eastAsia="仿宋_GB2312" w:hAnsi="Times New Roman" w:cs="Times New Roman"/>
          <w:sz w:val="32"/>
          <w:szCs w:val="32"/>
        </w:rPr>
        <w:t>P72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CD2v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MGF 360-505R</w:t>
      </w:r>
      <w:r>
        <w:rPr>
          <w:rFonts w:ascii="Times New Roman" w:eastAsia="仿宋_GB2312" w:hAnsi="Times New Roman" w:cs="Times New Roman"/>
          <w:sz w:val="32"/>
          <w:szCs w:val="32"/>
        </w:rPr>
        <w:t>基因的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值均＜</w:t>
      </w: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sz w:val="32"/>
          <w:szCs w:val="32"/>
        </w:rPr>
        <w:t>且出现特异性扩增曲线，阴性对照</w:t>
      </w:r>
      <w:r>
        <w:rPr>
          <w:rFonts w:ascii="Times New Roman" w:eastAsia="仿宋_GB2312" w:hAnsi="Times New Roman" w:cs="Times New Roman"/>
          <w:sz w:val="32"/>
          <w:szCs w:val="32"/>
        </w:rPr>
        <w:t>P72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CD2v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MGF 360-505R</w:t>
      </w:r>
      <w:r>
        <w:rPr>
          <w:rFonts w:ascii="Times New Roman" w:eastAsia="仿宋_GB2312" w:hAnsi="Times New Roman" w:cs="Times New Roman"/>
          <w:sz w:val="32"/>
          <w:szCs w:val="32"/>
        </w:rPr>
        <w:t>基因无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值或阴性对照</w:t>
      </w:r>
      <w:r>
        <w:rPr>
          <w:rFonts w:ascii="Times New Roman" w:eastAsia="仿宋_GB2312" w:hAnsi="Times New Roman" w:cs="Times New Roman"/>
          <w:sz w:val="32"/>
          <w:szCs w:val="32"/>
        </w:rPr>
        <w:t>P72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CD2v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MGF 360-505R</w:t>
      </w:r>
      <w:r>
        <w:rPr>
          <w:rFonts w:ascii="Times New Roman" w:eastAsia="仿宋_GB2312" w:hAnsi="Times New Roman" w:cs="Times New Roman"/>
          <w:sz w:val="32"/>
          <w:szCs w:val="32"/>
        </w:rPr>
        <w:t>基因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sz w:val="32"/>
          <w:szCs w:val="32"/>
        </w:rPr>
        <w:t>≥40</w:t>
      </w:r>
      <w:r>
        <w:rPr>
          <w:rFonts w:ascii="Times New Roman" w:eastAsia="仿宋_GB2312" w:hAnsi="Times New Roman" w:cs="Times New Roman"/>
          <w:sz w:val="32"/>
          <w:szCs w:val="32"/>
        </w:rPr>
        <w:t>且无特异性扩增曲线，判为试验有效。试验无效时应重新进行试验。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6.3.2 </w:t>
      </w:r>
      <w:bookmarkStart w:id="6" w:name="_Hlk46926853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P72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CD2v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MGF 360-505R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基因检测结果判定</w:t>
      </w:r>
      <w:bookmarkEnd w:id="6"/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 xml:space="preserve">6.3.2.1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>P72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>基因检测结果判定（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>FAM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>通道）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被检样品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sz w:val="32"/>
          <w:szCs w:val="32"/>
        </w:rPr>
        <w:t>≤38</w:t>
      </w:r>
      <w:r>
        <w:rPr>
          <w:rFonts w:ascii="Times New Roman" w:eastAsia="仿宋_GB2312" w:hAnsi="Times New Roman" w:cs="Times New Roman"/>
          <w:sz w:val="32"/>
          <w:szCs w:val="32"/>
        </w:rPr>
        <w:t>且出现特异性扩增曲线，判为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P72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阳性；无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值或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sz w:val="32"/>
          <w:szCs w:val="32"/>
        </w:rPr>
        <w:t>≥40</w:t>
      </w:r>
      <w:r>
        <w:rPr>
          <w:rFonts w:ascii="Times New Roman" w:eastAsia="仿宋_GB2312" w:hAnsi="Times New Roman" w:cs="Times New Roman"/>
          <w:sz w:val="32"/>
          <w:szCs w:val="32"/>
        </w:rPr>
        <w:t>，判为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P72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阴性；</w:t>
      </w:r>
      <w:r>
        <w:rPr>
          <w:rFonts w:ascii="Times New Roman" w:eastAsia="仿宋_GB2312" w:hAnsi="Times New Roman" w:cs="Times New Roman"/>
          <w:sz w:val="32"/>
          <w:szCs w:val="32"/>
        </w:rPr>
        <w:t>38</w:t>
      </w:r>
      <w:r>
        <w:rPr>
          <w:rFonts w:ascii="Times New Roman" w:eastAsia="仿宋_GB2312" w:hAnsi="Times New Roman" w:cs="Times New Roman"/>
          <w:sz w:val="32"/>
          <w:szCs w:val="32"/>
        </w:rPr>
        <w:t>＜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值＜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sz w:val="32"/>
          <w:szCs w:val="32"/>
        </w:rPr>
        <w:t>且出现特异性扩增曲线，判为疑似。对疑似样品，再进行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次复检，做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个重复；至少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个重复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值＜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sz w:val="32"/>
          <w:szCs w:val="32"/>
        </w:rPr>
        <w:t>且出现特异性扩增曲线即判为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P72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阳性，否则判为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P72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阴性。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>6.3.2.2  CD2v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>基因检测结果判定（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>VIC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>通道）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sz w:val="32"/>
          <w:szCs w:val="32"/>
          <w:lang w:val="en-GB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被检样品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sz w:val="32"/>
          <w:szCs w:val="32"/>
        </w:rPr>
        <w:t>≤38</w:t>
      </w:r>
      <w:r>
        <w:rPr>
          <w:rFonts w:ascii="Times New Roman" w:eastAsia="仿宋_GB2312" w:hAnsi="Times New Roman" w:cs="Times New Roman"/>
          <w:sz w:val="32"/>
          <w:szCs w:val="32"/>
        </w:rPr>
        <w:t>且出现特异性扩增曲线，判为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CD2v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阳性；无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值或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sz w:val="32"/>
          <w:szCs w:val="32"/>
        </w:rPr>
        <w:t>≥40</w:t>
      </w:r>
      <w:r>
        <w:rPr>
          <w:rFonts w:ascii="Times New Roman" w:eastAsia="仿宋_GB2312" w:hAnsi="Times New Roman" w:cs="Times New Roman"/>
          <w:sz w:val="32"/>
          <w:szCs w:val="32"/>
        </w:rPr>
        <w:t>，判为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CD2v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阴性；</w:t>
      </w:r>
      <w:r>
        <w:rPr>
          <w:rFonts w:ascii="Times New Roman" w:eastAsia="仿宋_GB2312" w:hAnsi="Times New Roman" w:cs="Times New Roman"/>
          <w:sz w:val="32"/>
          <w:szCs w:val="32"/>
        </w:rPr>
        <w:t>38</w:t>
      </w:r>
      <w:r>
        <w:rPr>
          <w:rFonts w:ascii="Times New Roman" w:eastAsia="仿宋_GB2312" w:hAnsi="Times New Roman" w:cs="Times New Roman"/>
          <w:sz w:val="32"/>
          <w:szCs w:val="32"/>
        </w:rPr>
        <w:t>＜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值＜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sz w:val="32"/>
          <w:szCs w:val="32"/>
        </w:rPr>
        <w:t>且出现特异性扩增曲线，判为疑似。对疑似样品，再进行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次复检，做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个重复；至少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个重复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值＜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sz w:val="32"/>
          <w:szCs w:val="32"/>
        </w:rPr>
        <w:t>且出现特异性扩增曲线即判为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CD2v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阳性，否则判为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CD2v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阴性。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 xml:space="preserve">6.3.2.3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MGF 360-505R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基因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>检测结果判定（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>Cy5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val="en-GB"/>
        </w:rPr>
        <w:t>通道）</w:t>
      </w:r>
    </w:p>
    <w:p w:rsidR="00871ED1" w:rsidRDefault="00871ED1" w:rsidP="00871ED1">
      <w:pPr>
        <w:tabs>
          <w:tab w:val="left" w:pos="630"/>
        </w:tabs>
        <w:snapToGrid w:val="0"/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被检样品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sz w:val="32"/>
          <w:szCs w:val="32"/>
        </w:rPr>
        <w:t>≤38</w:t>
      </w:r>
      <w:r>
        <w:rPr>
          <w:rFonts w:ascii="Times New Roman" w:eastAsia="仿宋_GB2312" w:hAnsi="Times New Roman" w:cs="Times New Roman"/>
          <w:sz w:val="32"/>
          <w:szCs w:val="32"/>
        </w:rPr>
        <w:t>且出现特异性扩增曲线，判为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MGF 360-505R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阳性；无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值或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sz w:val="32"/>
          <w:szCs w:val="32"/>
        </w:rPr>
        <w:t>≥40</w:t>
      </w:r>
      <w:r>
        <w:rPr>
          <w:rFonts w:ascii="Times New Roman" w:eastAsia="仿宋_GB2312" w:hAnsi="Times New Roman" w:cs="Times New Roman"/>
          <w:sz w:val="32"/>
          <w:szCs w:val="32"/>
        </w:rPr>
        <w:t>，判为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MGF 360-505R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阴性；当</w:t>
      </w:r>
      <w:r>
        <w:rPr>
          <w:rFonts w:ascii="Times New Roman" w:eastAsia="仿宋_GB2312" w:hAnsi="Times New Roman" w:cs="Times New Roman"/>
          <w:sz w:val="32"/>
          <w:szCs w:val="32"/>
        </w:rPr>
        <w:t>38</w:t>
      </w:r>
      <w:r>
        <w:rPr>
          <w:rFonts w:ascii="Times New Roman" w:eastAsia="仿宋_GB2312" w:hAnsi="Times New Roman" w:cs="Times New Roman"/>
          <w:sz w:val="32"/>
          <w:szCs w:val="32"/>
        </w:rPr>
        <w:t>＜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值＜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sz w:val="32"/>
          <w:szCs w:val="32"/>
        </w:rPr>
        <w:t>且出现特异性扩增曲线，判为疑似。对疑似样品，再进行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次复检，做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个重复；至少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个重复</w:t>
      </w:r>
      <w:r>
        <w:rPr>
          <w:rFonts w:ascii="Times New Roman" w:eastAsia="仿宋_GB2312" w:hAnsi="Times New Roman" w:cs="Times New Roman"/>
          <w:sz w:val="32"/>
          <w:szCs w:val="32"/>
        </w:rPr>
        <w:t>Ct</w:t>
      </w:r>
      <w:r>
        <w:rPr>
          <w:rFonts w:ascii="Times New Roman" w:eastAsia="仿宋_GB2312" w:hAnsi="Times New Roman" w:cs="Times New Roman"/>
          <w:sz w:val="32"/>
          <w:szCs w:val="32"/>
        </w:rPr>
        <w:t>值＜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sz w:val="32"/>
          <w:szCs w:val="32"/>
        </w:rPr>
        <w:t>且出现特异性扩增曲线即判为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MGF 360-505R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阳性，否则判为</w:t>
      </w:r>
      <w:r>
        <w:rPr>
          <w:rFonts w:ascii="Times New Roman" w:eastAsia="仿宋_GB2312" w:hAnsi="Times New Roman" w:cs="Times New Roman"/>
          <w:sz w:val="32"/>
          <w:szCs w:val="32"/>
        </w:rPr>
        <w:t>ASFV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 xml:space="preserve"> MGF 360-505R</w:t>
      </w:r>
      <w:r>
        <w:rPr>
          <w:rFonts w:ascii="Times New Roman" w:eastAsia="仿宋_GB2312" w:hAnsi="Times New Roman" w:cs="Times New Roman"/>
          <w:sz w:val="32"/>
          <w:szCs w:val="32"/>
          <w:lang w:val="en-GB"/>
        </w:rPr>
        <w:t>基因检测</w:t>
      </w:r>
      <w:r>
        <w:rPr>
          <w:rFonts w:ascii="Times New Roman" w:eastAsia="仿宋_GB2312" w:hAnsi="Times New Roman" w:cs="Times New Roman"/>
          <w:sz w:val="32"/>
          <w:szCs w:val="32"/>
        </w:rPr>
        <w:t>阴性。</w:t>
      </w:r>
    </w:p>
    <w:p w:rsidR="00871ED1" w:rsidRDefault="00871ED1" w:rsidP="00871ED1">
      <w:pPr>
        <w:snapToGrid w:val="0"/>
        <w:spacing w:line="6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6.3.3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综合判定</w:t>
      </w:r>
    </w:p>
    <w:p w:rsidR="00871ED1" w:rsidRDefault="00871ED1" w:rsidP="00871ED1">
      <w:pPr>
        <w:snapToGrid w:val="0"/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结合</w:t>
      </w:r>
      <w:r>
        <w:rPr>
          <w:rFonts w:ascii="Times New Roman" w:eastAsia="仿宋_GB2312" w:hAnsi="Times New Roman" w:cs="Times New Roman"/>
          <w:sz w:val="32"/>
          <w:szCs w:val="32"/>
        </w:rPr>
        <w:t>P72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CD2v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MGF 360-505R</w:t>
      </w:r>
      <w:r>
        <w:rPr>
          <w:rFonts w:ascii="Times New Roman" w:eastAsia="仿宋_GB2312" w:hAnsi="Times New Roman" w:cs="Times New Roman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个基因的检测结果进行综合判定。具体判定标准见附表。</w:t>
      </w:r>
    </w:p>
    <w:p w:rsidR="00871ED1" w:rsidRDefault="00871ED1" w:rsidP="00871ED1">
      <w:pPr>
        <w:snapToGrid w:val="0"/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  <w:lang w:val="en-GB"/>
        </w:rPr>
      </w:pPr>
    </w:p>
    <w:p w:rsidR="00871ED1" w:rsidRDefault="00871ED1" w:rsidP="00871ED1">
      <w:pPr>
        <w:snapToGrid w:val="0"/>
        <w:spacing w:beforeLines="50"/>
        <w:ind w:rightChars="100" w:right="210"/>
        <w:jc w:val="center"/>
        <w:rPr>
          <w:rFonts w:ascii="华文中宋" w:eastAsia="华文中宋" w:hAnsi="华文中宋" w:cs="华文中宋" w:hint="eastAsia"/>
          <w:sz w:val="32"/>
          <w:szCs w:val="32"/>
          <w:lang w:val="en-GB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 xml:space="preserve">附表  </w:t>
      </w:r>
      <w:r>
        <w:rPr>
          <w:rFonts w:ascii="华文中宋" w:eastAsia="华文中宋" w:hAnsi="华文中宋" w:cs="华文中宋" w:hint="eastAsia"/>
          <w:sz w:val="32"/>
          <w:szCs w:val="32"/>
          <w:lang w:val="en-GB"/>
        </w:rPr>
        <w:t xml:space="preserve"> 综合判定标准</w:t>
      </w:r>
    </w:p>
    <w:p w:rsidR="00871ED1" w:rsidRDefault="00871ED1" w:rsidP="00871ED1">
      <w:pPr>
        <w:ind w:firstLine="480"/>
        <w:rPr>
          <w:rFonts w:ascii="Times New Roman" w:eastAsia="仿宋_GB2312" w:hAnsi="Times New Roman" w:cs="Times New Roman"/>
          <w:sz w:val="24"/>
        </w:rPr>
      </w:pPr>
    </w:p>
    <w:tbl>
      <w:tblPr>
        <w:tblStyle w:val="a5"/>
        <w:tblpPr w:leftFromText="180" w:rightFromText="180" w:vertAnchor="text" w:horzAnchor="page" w:tblpX="1838" w:tblpY="69"/>
        <w:tblOverlap w:val="never"/>
        <w:tblW w:w="0" w:type="auto"/>
        <w:tblInd w:w="0" w:type="dxa"/>
        <w:tblLayout w:type="fixed"/>
        <w:tblLook w:val="0000"/>
      </w:tblPr>
      <w:tblGrid>
        <w:gridCol w:w="3848"/>
        <w:gridCol w:w="1566"/>
        <w:gridCol w:w="1563"/>
        <w:gridCol w:w="1587"/>
      </w:tblGrid>
      <w:tr w:rsidR="00871ED1" w:rsidTr="00DC6BD3">
        <w:trPr>
          <w:trHeight w:val="331"/>
        </w:trPr>
        <w:tc>
          <w:tcPr>
            <w:tcW w:w="3848" w:type="dxa"/>
            <w:vMerge w:val="restart"/>
            <w:vAlign w:val="center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综合判定结果</w:t>
            </w:r>
          </w:p>
        </w:tc>
        <w:tc>
          <w:tcPr>
            <w:tcW w:w="4716" w:type="dxa"/>
            <w:gridSpan w:val="3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检测结果</w:t>
            </w:r>
          </w:p>
        </w:tc>
      </w:tr>
      <w:tr w:rsidR="00871ED1" w:rsidTr="00DC6BD3">
        <w:trPr>
          <w:trHeight w:val="331"/>
        </w:trPr>
        <w:tc>
          <w:tcPr>
            <w:tcW w:w="3848" w:type="dxa"/>
            <w:vMerge/>
          </w:tcPr>
          <w:p w:rsidR="00871ED1" w:rsidRDefault="00871ED1" w:rsidP="00DC6BD3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6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P72-FAM</w:t>
            </w:r>
          </w:p>
        </w:tc>
        <w:tc>
          <w:tcPr>
            <w:tcW w:w="1563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7" w:name="_Hlk46925475"/>
            <w:r>
              <w:rPr>
                <w:rFonts w:ascii="Times New Roman" w:eastAsia="仿宋_GB2312" w:hAnsi="Times New Roman" w:cs="Times New Roman"/>
                <w:sz w:val="24"/>
              </w:rPr>
              <w:t>CD2v-VIC</w:t>
            </w:r>
            <w:bookmarkEnd w:id="7"/>
          </w:p>
        </w:tc>
        <w:tc>
          <w:tcPr>
            <w:tcW w:w="1587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8" w:name="_Hlk46925483"/>
            <w:r>
              <w:rPr>
                <w:rFonts w:ascii="Times New Roman" w:eastAsia="仿宋_GB2312" w:hAnsi="Times New Roman" w:cs="Times New Roman"/>
                <w:sz w:val="24"/>
              </w:rPr>
              <w:t>MGF-Cy5</w:t>
            </w:r>
            <w:bookmarkEnd w:id="8"/>
          </w:p>
        </w:tc>
      </w:tr>
      <w:tr w:rsidR="00871ED1" w:rsidTr="00DC6BD3">
        <w:trPr>
          <w:trHeight w:val="331"/>
        </w:trPr>
        <w:tc>
          <w:tcPr>
            <w:tcW w:w="3848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ASFV</w:t>
            </w:r>
            <w:r>
              <w:rPr>
                <w:rFonts w:ascii="Times New Roman" w:eastAsia="仿宋_GB2312" w:hAnsi="Times New Roman" w:cs="Times New Roman"/>
                <w:sz w:val="24"/>
              </w:rPr>
              <w:t>流行株阳性</w:t>
            </w:r>
          </w:p>
        </w:tc>
        <w:tc>
          <w:tcPr>
            <w:tcW w:w="1566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</w:p>
        </w:tc>
        <w:tc>
          <w:tcPr>
            <w:tcW w:w="1563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</w:p>
        </w:tc>
        <w:tc>
          <w:tcPr>
            <w:tcW w:w="1587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</w:p>
        </w:tc>
      </w:tr>
      <w:tr w:rsidR="00871ED1" w:rsidTr="00DC6BD3">
        <w:trPr>
          <w:trHeight w:val="331"/>
        </w:trPr>
        <w:tc>
          <w:tcPr>
            <w:tcW w:w="3848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ASFV CD2v</w:t>
            </w:r>
            <w:r>
              <w:rPr>
                <w:rFonts w:ascii="Times New Roman" w:eastAsia="仿宋_GB2312" w:hAnsi="Times New Roman" w:cs="Times New Roman"/>
                <w:sz w:val="24"/>
              </w:rPr>
              <w:t>基因缺失株阳性</w:t>
            </w:r>
          </w:p>
        </w:tc>
        <w:tc>
          <w:tcPr>
            <w:tcW w:w="1566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</w:p>
        </w:tc>
        <w:tc>
          <w:tcPr>
            <w:tcW w:w="1563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1587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</w:p>
        </w:tc>
      </w:tr>
      <w:tr w:rsidR="00871ED1" w:rsidTr="00DC6BD3">
        <w:trPr>
          <w:trHeight w:val="331"/>
        </w:trPr>
        <w:tc>
          <w:tcPr>
            <w:tcW w:w="3848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ASFV MGF</w:t>
            </w:r>
            <w:r>
              <w:rPr>
                <w:rFonts w:ascii="Times New Roman" w:eastAsia="仿宋_GB2312" w:hAnsi="Times New Roman" w:cs="Times New Roman"/>
                <w:sz w:val="24"/>
              </w:rPr>
              <w:t>基因缺失株阳性</w:t>
            </w:r>
          </w:p>
        </w:tc>
        <w:tc>
          <w:tcPr>
            <w:tcW w:w="1566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</w:p>
        </w:tc>
        <w:tc>
          <w:tcPr>
            <w:tcW w:w="1563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</w:p>
        </w:tc>
        <w:tc>
          <w:tcPr>
            <w:tcW w:w="1587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</w:tr>
      <w:tr w:rsidR="00871ED1" w:rsidTr="00DC6BD3">
        <w:trPr>
          <w:trHeight w:val="331"/>
        </w:trPr>
        <w:tc>
          <w:tcPr>
            <w:tcW w:w="3848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ASFV CD2v</w:t>
            </w:r>
            <w:r>
              <w:rPr>
                <w:rFonts w:ascii="Times New Roman" w:eastAsia="仿宋_GB2312" w:hAnsi="Times New Roman" w:cs="Times New Roman"/>
                <w:sz w:val="24"/>
              </w:rPr>
              <w:t>与</w:t>
            </w:r>
            <w:r>
              <w:rPr>
                <w:rFonts w:ascii="Times New Roman" w:eastAsia="仿宋_GB2312" w:hAnsi="Times New Roman" w:cs="Times New Roman"/>
                <w:sz w:val="24"/>
              </w:rPr>
              <w:t>MGF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基因双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缺失株阳性</w:t>
            </w:r>
          </w:p>
        </w:tc>
        <w:tc>
          <w:tcPr>
            <w:tcW w:w="1566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+</w:t>
            </w:r>
          </w:p>
        </w:tc>
        <w:tc>
          <w:tcPr>
            <w:tcW w:w="1563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1587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</w:tr>
      <w:tr w:rsidR="00871ED1" w:rsidTr="00DC6BD3">
        <w:trPr>
          <w:trHeight w:val="331"/>
        </w:trPr>
        <w:tc>
          <w:tcPr>
            <w:tcW w:w="3848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ASFV</w:t>
            </w:r>
            <w:r>
              <w:rPr>
                <w:rFonts w:ascii="Times New Roman" w:eastAsia="仿宋_GB2312" w:hAnsi="Times New Roman" w:cs="Times New Roman"/>
                <w:sz w:val="24"/>
              </w:rPr>
              <w:t>阴性</w:t>
            </w:r>
          </w:p>
        </w:tc>
        <w:tc>
          <w:tcPr>
            <w:tcW w:w="1566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1563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  <w:tc>
          <w:tcPr>
            <w:tcW w:w="1587" w:type="dxa"/>
          </w:tcPr>
          <w:p w:rsidR="00871ED1" w:rsidRDefault="00871ED1" w:rsidP="00DC6BD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</w:p>
        </w:tc>
      </w:tr>
    </w:tbl>
    <w:p w:rsidR="00871ED1" w:rsidRDefault="00871ED1" w:rsidP="00871ED1">
      <w:pPr>
        <w:ind w:firstLine="480"/>
        <w:rPr>
          <w:rFonts w:ascii="Times New Roman" w:eastAsia="仿宋_GB2312" w:hAnsi="Times New Roman" w:cs="Times New Roman"/>
          <w:sz w:val="24"/>
        </w:rPr>
      </w:pPr>
    </w:p>
    <w:p w:rsidR="00871ED1" w:rsidRDefault="00871ED1" w:rsidP="00871ED1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24"/>
        </w:rPr>
        <w:t>注：</w:t>
      </w:r>
      <w:r>
        <w:rPr>
          <w:rFonts w:ascii="Times New Roman" w:eastAsia="仿宋_GB2312" w:hAnsi="Times New Roman" w:cs="Times New Roman"/>
          <w:sz w:val="24"/>
        </w:rPr>
        <w:t>“+”</w:t>
      </w:r>
      <w:r>
        <w:rPr>
          <w:rFonts w:ascii="Times New Roman" w:eastAsia="仿宋_GB2312" w:hAnsi="Times New Roman" w:cs="Times New Roman"/>
          <w:sz w:val="24"/>
        </w:rPr>
        <w:t>代表检测阳性；</w:t>
      </w:r>
      <w:r>
        <w:rPr>
          <w:rFonts w:ascii="Times New Roman" w:eastAsia="仿宋_GB2312" w:hAnsi="Times New Roman" w:cs="Times New Roman"/>
          <w:sz w:val="24"/>
        </w:rPr>
        <w:t>“-”</w:t>
      </w:r>
      <w:r>
        <w:rPr>
          <w:rFonts w:ascii="Times New Roman" w:eastAsia="仿宋_GB2312" w:hAnsi="Times New Roman" w:cs="Times New Roman"/>
          <w:sz w:val="24"/>
        </w:rPr>
        <w:t>代表检测阴性</w:t>
      </w:r>
    </w:p>
    <w:p w:rsidR="00822379" w:rsidRPr="00871ED1" w:rsidRDefault="00822379"/>
    <w:sectPr w:rsidR="00822379" w:rsidRPr="00871ED1" w:rsidSect="0082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9FD6DB"/>
    <w:multiLevelType w:val="singleLevel"/>
    <w:tmpl w:val="BA9FD6DB"/>
    <w:lvl w:ilvl="0">
      <w:start w:val="1"/>
      <w:numFmt w:val="decimal"/>
      <w:suff w:val="space"/>
      <w:lvlText w:val="%1."/>
      <w:lvlJc w:val="left"/>
    </w:lvl>
  </w:abstractNum>
  <w:abstractNum w:abstractNumId="1">
    <w:nsid w:val="3E6323A5"/>
    <w:multiLevelType w:val="multilevel"/>
    <w:tmpl w:val="3E6323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40" w:hanging="2160"/>
      </w:pPr>
      <w:rPr>
        <w:rFonts w:hint="default"/>
      </w:rPr>
    </w:lvl>
  </w:abstractNum>
  <w:abstractNum w:abstractNumId="2">
    <w:nsid w:val="7FDE1794"/>
    <w:multiLevelType w:val="singleLevel"/>
    <w:tmpl w:val="7FDE1794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1ED1"/>
    <w:rsid w:val="00822379"/>
    <w:rsid w:val="0087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D1"/>
    <w:pPr>
      <w:widowControl w:val="0"/>
      <w:jc w:val="both"/>
    </w:pPr>
    <w:rPr>
      <w:rFonts w:ascii="Calibri" w:eastAsia="宋体" w:hAnsi="Calibri" w:cs="黑体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1ED1"/>
    <w:pPr>
      <w:keepNext/>
      <w:keepLines/>
      <w:spacing w:before="120" w:after="120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1ED1"/>
    <w:rPr>
      <w:rFonts w:ascii="Calibri" w:eastAsia="黑体" w:hAnsi="Calibri" w:cs="黑体"/>
      <w:bCs/>
      <w:kern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871ED1"/>
    <w:pPr>
      <w:spacing w:before="240" w:after="60"/>
      <w:jc w:val="center"/>
      <w:outlineLvl w:val="0"/>
    </w:pPr>
    <w:rPr>
      <w:rFonts w:eastAsia="华文中宋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71ED1"/>
    <w:rPr>
      <w:rFonts w:ascii="Calibri" w:eastAsia="华文中宋" w:hAnsi="Calibri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871ED1"/>
    <w:pPr>
      <w:ind w:firstLine="420"/>
    </w:pPr>
  </w:style>
  <w:style w:type="table" w:styleId="a5">
    <w:name w:val="Table Grid"/>
    <w:basedOn w:val="a1"/>
    <w:uiPriority w:val="39"/>
    <w:qFormat/>
    <w:rsid w:val="00871ED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380</Words>
  <Characters>2166</Characters>
  <Application>Microsoft Office Word</Application>
  <DocSecurity>0</DocSecurity>
  <Lines>18</Lines>
  <Paragraphs>5</Paragraphs>
  <ScaleCrop>false</ScaleCrop>
  <Company>Lenovo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2020-08-25T08:20:00Z</dcterms:created>
  <dcterms:modified xsi:type="dcterms:W3CDTF">2020-08-25T08:20:00Z</dcterms:modified>
</cp:coreProperties>
</file>