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6"/>
        <w:gridCol w:w="2670"/>
        <w:gridCol w:w="1690"/>
        <w:gridCol w:w="2296"/>
        <w:gridCol w:w="6"/>
        <w:gridCol w:w="13"/>
        <w:gridCol w:w="11"/>
        <w:gridCol w:w="6"/>
        <w:gridCol w:w="12"/>
        <w:gridCol w:w="30"/>
        <w:gridCol w:w="6"/>
        <w:gridCol w:w="1840"/>
      </w:tblGrid>
      <w:tr w:rsidR="002B1727" w:rsidRPr="006C4937" w:rsidTr="00DF5093">
        <w:trPr>
          <w:trHeight w:val="435"/>
        </w:trPr>
        <w:tc>
          <w:tcPr>
            <w:tcW w:w="1176" w:type="dxa"/>
            <w:tcBorders>
              <w:top w:val="nil"/>
              <w:left w:val="nil"/>
              <w:bottom w:val="nil"/>
              <w:right w:val="nil"/>
            </w:tcBorders>
            <w:shd w:val="clear" w:color="auto" w:fill="auto"/>
            <w:noWrap/>
            <w:vAlign w:val="center"/>
          </w:tcPr>
          <w:p w:rsidR="002B1727" w:rsidRDefault="002B1727" w:rsidP="00DF5093">
            <w:pPr>
              <w:spacing w:line="320" w:lineRule="exact"/>
              <w:rPr>
                <w:rFonts w:hint="eastAsia"/>
                <w:sz w:val="32"/>
                <w:szCs w:val="32"/>
              </w:rPr>
            </w:pPr>
            <w:r w:rsidRPr="00A5390A">
              <w:rPr>
                <w:sz w:val="32"/>
                <w:szCs w:val="32"/>
              </w:rPr>
              <w:br w:type="page"/>
            </w:r>
          </w:p>
          <w:p w:rsidR="002B1727" w:rsidRDefault="002B1727" w:rsidP="00DF5093">
            <w:pPr>
              <w:spacing w:line="320" w:lineRule="exact"/>
              <w:rPr>
                <w:rFonts w:hint="eastAsia"/>
                <w:sz w:val="32"/>
                <w:szCs w:val="32"/>
              </w:rPr>
            </w:pPr>
          </w:p>
          <w:p w:rsidR="002B1727" w:rsidRDefault="002B1727" w:rsidP="00DF5093">
            <w:pPr>
              <w:spacing w:line="320" w:lineRule="exact"/>
              <w:rPr>
                <w:rFonts w:hint="eastAsia"/>
                <w:sz w:val="32"/>
                <w:szCs w:val="32"/>
              </w:rPr>
            </w:pPr>
          </w:p>
          <w:p w:rsidR="002B1727" w:rsidRDefault="002B1727" w:rsidP="00DF5093">
            <w:pPr>
              <w:spacing w:line="320" w:lineRule="exact"/>
              <w:rPr>
                <w:rFonts w:hint="eastAsia"/>
                <w:sz w:val="32"/>
                <w:szCs w:val="32"/>
              </w:rPr>
            </w:pPr>
          </w:p>
          <w:p w:rsidR="002B1727" w:rsidRDefault="002B1727" w:rsidP="00DF5093">
            <w:pPr>
              <w:spacing w:line="320" w:lineRule="exact"/>
              <w:rPr>
                <w:rFonts w:hint="eastAsia"/>
                <w:sz w:val="32"/>
                <w:szCs w:val="32"/>
              </w:rPr>
            </w:pPr>
          </w:p>
          <w:p w:rsidR="002B1727" w:rsidRDefault="002B1727" w:rsidP="00DF5093">
            <w:pPr>
              <w:spacing w:line="320" w:lineRule="exact"/>
              <w:rPr>
                <w:rFonts w:hint="eastAsia"/>
                <w:sz w:val="32"/>
                <w:szCs w:val="32"/>
              </w:rPr>
            </w:pPr>
          </w:p>
          <w:p w:rsidR="002B1727" w:rsidRDefault="002B1727" w:rsidP="00DF5093">
            <w:pPr>
              <w:spacing w:line="320" w:lineRule="exact"/>
              <w:rPr>
                <w:rFonts w:hint="eastAsia"/>
                <w:sz w:val="32"/>
                <w:szCs w:val="32"/>
              </w:rPr>
            </w:pPr>
          </w:p>
          <w:p w:rsidR="002B1727" w:rsidRDefault="002B1727" w:rsidP="00DF5093">
            <w:pPr>
              <w:spacing w:line="320" w:lineRule="exact"/>
              <w:rPr>
                <w:rFonts w:hint="eastAsia"/>
                <w:sz w:val="32"/>
                <w:szCs w:val="32"/>
              </w:rPr>
            </w:pPr>
          </w:p>
          <w:p w:rsidR="002B1727" w:rsidRDefault="002B1727" w:rsidP="00DF5093">
            <w:pPr>
              <w:spacing w:line="320" w:lineRule="exact"/>
              <w:rPr>
                <w:rFonts w:hint="eastAsia"/>
                <w:sz w:val="32"/>
                <w:szCs w:val="32"/>
              </w:rPr>
            </w:pPr>
          </w:p>
          <w:p w:rsidR="002B1727" w:rsidRPr="006C4937" w:rsidRDefault="002B1727" w:rsidP="00DF5093">
            <w:pPr>
              <w:spacing w:line="320" w:lineRule="exact"/>
              <w:rPr>
                <w:rFonts w:eastAsia="黑体"/>
                <w:sz w:val="32"/>
                <w:szCs w:val="32"/>
              </w:rPr>
            </w:pPr>
            <w:r w:rsidRPr="006C4937">
              <w:rPr>
                <w:rFonts w:eastAsia="仿宋_GB2312"/>
                <w:sz w:val="28"/>
                <w:szCs w:val="28"/>
              </w:rPr>
              <w:br w:type="page"/>
            </w:r>
            <w:r w:rsidRPr="006C4937">
              <w:rPr>
                <w:rFonts w:eastAsia="仿宋_GB2312"/>
                <w:szCs w:val="32"/>
              </w:rPr>
              <w:br w:type="page"/>
            </w:r>
            <w:r w:rsidRPr="006C4937">
              <w:rPr>
                <w:rFonts w:eastAsia="黑体"/>
                <w:szCs w:val="32"/>
              </w:rPr>
              <w:br w:type="page"/>
            </w:r>
            <w:r w:rsidRPr="006C4937">
              <w:rPr>
                <w:rFonts w:eastAsia="黑体"/>
                <w:szCs w:val="32"/>
              </w:rPr>
              <w:br w:type="page"/>
            </w:r>
            <w:r w:rsidRPr="006C4937">
              <w:rPr>
                <w:rFonts w:eastAsia="黑体" w:hint="eastAsia"/>
                <w:sz w:val="32"/>
                <w:szCs w:val="32"/>
              </w:rPr>
              <w:t>附</w:t>
            </w:r>
            <w:r>
              <w:rPr>
                <w:rFonts w:eastAsia="黑体" w:hint="eastAsia"/>
                <w:sz w:val="32"/>
                <w:szCs w:val="32"/>
              </w:rPr>
              <w:t>录</w:t>
            </w:r>
            <w:r>
              <w:rPr>
                <w:rFonts w:eastAsia="黑体" w:hint="eastAsia"/>
                <w:sz w:val="32"/>
                <w:szCs w:val="32"/>
              </w:rPr>
              <w:t>2</w:t>
            </w:r>
          </w:p>
        </w:tc>
        <w:tc>
          <w:tcPr>
            <w:tcW w:w="8580" w:type="dxa"/>
            <w:gridSpan w:val="11"/>
            <w:tcBorders>
              <w:top w:val="nil"/>
              <w:left w:val="nil"/>
              <w:bottom w:val="nil"/>
              <w:right w:val="nil"/>
            </w:tcBorders>
            <w:shd w:val="clear" w:color="auto" w:fill="auto"/>
            <w:noWrap/>
            <w:vAlign w:val="center"/>
          </w:tcPr>
          <w:p w:rsidR="002B1727" w:rsidRPr="006C4937" w:rsidRDefault="002B1727" w:rsidP="00DF5093">
            <w:pPr>
              <w:spacing w:line="320" w:lineRule="exact"/>
              <w:rPr>
                <w:rFonts w:eastAsia="黑体"/>
                <w:szCs w:val="32"/>
              </w:rPr>
            </w:pPr>
          </w:p>
        </w:tc>
      </w:tr>
      <w:tr w:rsidR="002B1727" w:rsidRPr="006C4937" w:rsidTr="00DF5093">
        <w:trPr>
          <w:trHeight w:val="465"/>
        </w:trPr>
        <w:tc>
          <w:tcPr>
            <w:tcW w:w="9756" w:type="dxa"/>
            <w:gridSpan w:val="12"/>
            <w:tcBorders>
              <w:top w:val="nil"/>
              <w:left w:val="nil"/>
              <w:bottom w:val="single" w:sz="4" w:space="0" w:color="auto"/>
              <w:right w:val="nil"/>
            </w:tcBorders>
            <w:shd w:val="clear" w:color="auto" w:fill="auto"/>
            <w:noWrap/>
            <w:vAlign w:val="center"/>
          </w:tcPr>
          <w:p w:rsidR="002B1727" w:rsidRPr="00A5390A" w:rsidRDefault="002B1727" w:rsidP="00DF5093">
            <w:pPr>
              <w:widowControl/>
              <w:jc w:val="center"/>
              <w:rPr>
                <w:rFonts w:eastAsia="黑体" w:hint="eastAsia"/>
                <w:kern w:val="0"/>
                <w:sz w:val="32"/>
                <w:szCs w:val="32"/>
              </w:rPr>
            </w:pPr>
            <w:r w:rsidRPr="00A5390A">
              <w:rPr>
                <w:rFonts w:eastAsia="黑体" w:hint="eastAsia"/>
                <w:kern w:val="0"/>
                <w:sz w:val="32"/>
                <w:szCs w:val="32"/>
              </w:rPr>
              <w:t>兽药注册现场核查要点及判定表</w:t>
            </w:r>
          </w:p>
          <w:p w:rsidR="002B1727" w:rsidRPr="006C4937" w:rsidRDefault="002B1727" w:rsidP="00DF5093">
            <w:pPr>
              <w:widowControl/>
              <w:jc w:val="center"/>
              <w:rPr>
                <w:rFonts w:eastAsia="仿宋_GB2312" w:hint="eastAsia"/>
                <w:kern w:val="0"/>
                <w:sz w:val="28"/>
                <w:szCs w:val="28"/>
              </w:rPr>
            </w:pPr>
          </w:p>
        </w:tc>
      </w:tr>
      <w:tr w:rsidR="002B1727" w:rsidRPr="006C4937" w:rsidTr="00DF5093">
        <w:trPr>
          <w:trHeight w:val="620"/>
        </w:trPr>
        <w:tc>
          <w:tcPr>
            <w:tcW w:w="1176" w:type="dxa"/>
            <w:vMerge w:val="restart"/>
            <w:tcBorders>
              <w:top w:val="single" w:sz="4" w:space="0" w:color="auto"/>
            </w:tcBorders>
            <w:shd w:val="clear" w:color="auto" w:fill="auto"/>
            <w:vAlign w:val="center"/>
          </w:tcPr>
          <w:p w:rsidR="002B1727" w:rsidRPr="006C4937" w:rsidRDefault="002B1727" w:rsidP="00DF5093">
            <w:pPr>
              <w:widowControl/>
              <w:spacing w:line="320" w:lineRule="exact"/>
              <w:jc w:val="center"/>
              <w:rPr>
                <w:rFonts w:eastAsia="仿宋_GB2312"/>
                <w:b/>
                <w:bCs/>
                <w:kern w:val="0"/>
                <w:szCs w:val="21"/>
              </w:rPr>
            </w:pPr>
            <w:r w:rsidRPr="006C4937">
              <w:rPr>
                <w:rFonts w:eastAsia="仿宋_GB2312" w:hint="eastAsia"/>
                <w:b/>
                <w:bCs/>
                <w:kern w:val="0"/>
                <w:szCs w:val="21"/>
              </w:rPr>
              <w:t>被核查单位名称</w:t>
            </w:r>
          </w:p>
        </w:tc>
        <w:tc>
          <w:tcPr>
            <w:tcW w:w="8580" w:type="dxa"/>
            <w:gridSpan w:val="11"/>
            <w:tcBorders>
              <w:top w:val="single" w:sz="4" w:space="0" w:color="auto"/>
            </w:tcBorders>
            <w:shd w:val="clear" w:color="auto" w:fill="auto"/>
            <w:vAlign w:val="center"/>
          </w:tcPr>
          <w:p w:rsidR="002B1727" w:rsidRPr="006C4937" w:rsidRDefault="002B1727" w:rsidP="00DF5093">
            <w:pPr>
              <w:widowControl/>
              <w:spacing w:line="320" w:lineRule="exact"/>
              <w:jc w:val="center"/>
              <w:rPr>
                <w:rFonts w:eastAsia="仿宋_GB2312"/>
                <w:b/>
                <w:bCs/>
                <w:kern w:val="0"/>
                <w:szCs w:val="21"/>
              </w:rPr>
            </w:pPr>
          </w:p>
        </w:tc>
      </w:tr>
      <w:tr w:rsidR="002B1727" w:rsidRPr="006C4937" w:rsidTr="00DF5093">
        <w:trPr>
          <w:trHeight w:val="530"/>
        </w:trPr>
        <w:tc>
          <w:tcPr>
            <w:tcW w:w="1176" w:type="dxa"/>
            <w:vMerge/>
            <w:shd w:val="clear" w:color="auto" w:fill="auto"/>
            <w:vAlign w:val="center"/>
          </w:tcPr>
          <w:p w:rsidR="002B1727" w:rsidRPr="006C4937" w:rsidRDefault="002B1727" w:rsidP="00DF5093">
            <w:pPr>
              <w:widowControl/>
              <w:spacing w:line="320" w:lineRule="exact"/>
              <w:jc w:val="center"/>
              <w:rPr>
                <w:rFonts w:eastAsia="仿宋_GB2312" w:hint="eastAsia"/>
                <w:b/>
                <w:bCs/>
                <w:kern w:val="0"/>
                <w:szCs w:val="21"/>
              </w:rPr>
            </w:pPr>
          </w:p>
        </w:tc>
        <w:tc>
          <w:tcPr>
            <w:tcW w:w="8580" w:type="dxa"/>
            <w:gridSpan w:val="11"/>
            <w:shd w:val="clear" w:color="auto" w:fill="auto"/>
            <w:vAlign w:val="center"/>
          </w:tcPr>
          <w:p w:rsidR="002B1727" w:rsidRPr="006C4937" w:rsidRDefault="002B1727" w:rsidP="00DF5093">
            <w:pPr>
              <w:widowControl/>
              <w:spacing w:line="320" w:lineRule="exact"/>
              <w:jc w:val="center"/>
              <w:rPr>
                <w:rFonts w:eastAsia="仿宋_GB2312"/>
                <w:b/>
                <w:bCs/>
                <w:kern w:val="0"/>
                <w:szCs w:val="21"/>
              </w:rPr>
            </w:pPr>
            <w:r w:rsidRPr="006C4937">
              <w:rPr>
                <w:rFonts w:ascii="幼圆" w:eastAsia="幼圆" w:hint="eastAsia"/>
                <w:sz w:val="24"/>
              </w:rPr>
              <w:t>□</w:t>
            </w:r>
            <w:r w:rsidRPr="006C4937">
              <w:rPr>
                <w:rFonts w:eastAsia="仿宋_GB2312" w:hint="eastAsia"/>
                <w:sz w:val="24"/>
              </w:rPr>
              <w:t xml:space="preserve"> </w:t>
            </w:r>
            <w:r w:rsidRPr="006C4937">
              <w:rPr>
                <w:rFonts w:eastAsia="仿宋_GB2312" w:hint="eastAsia"/>
                <w:sz w:val="24"/>
              </w:rPr>
              <w:t>注册申请人</w:t>
            </w:r>
            <w:r w:rsidRPr="006C4937">
              <w:rPr>
                <w:rFonts w:eastAsia="仿宋_GB2312" w:hint="eastAsia"/>
                <w:sz w:val="24"/>
              </w:rPr>
              <w:t xml:space="preserve">  </w:t>
            </w:r>
            <w:r w:rsidRPr="006C4937">
              <w:rPr>
                <w:rFonts w:ascii="幼圆" w:eastAsia="幼圆" w:hint="eastAsia"/>
                <w:sz w:val="24"/>
              </w:rPr>
              <w:t>□</w:t>
            </w:r>
            <w:r w:rsidRPr="006C4937">
              <w:rPr>
                <w:rFonts w:eastAsia="仿宋_GB2312" w:hint="eastAsia"/>
                <w:sz w:val="24"/>
              </w:rPr>
              <w:t xml:space="preserve"> </w:t>
            </w:r>
            <w:r w:rsidRPr="006C4937">
              <w:rPr>
                <w:rFonts w:eastAsia="仿宋_GB2312" w:hint="eastAsia"/>
                <w:sz w:val="24"/>
              </w:rPr>
              <w:t>中试单位</w:t>
            </w:r>
            <w:r w:rsidRPr="006C4937">
              <w:rPr>
                <w:rFonts w:eastAsia="仿宋_GB2312" w:hint="eastAsia"/>
                <w:sz w:val="24"/>
              </w:rPr>
              <w:t xml:space="preserve">  </w:t>
            </w:r>
            <w:r w:rsidRPr="006C4937">
              <w:rPr>
                <w:rFonts w:ascii="幼圆" w:eastAsia="幼圆" w:hint="eastAsia"/>
                <w:sz w:val="24"/>
              </w:rPr>
              <w:t>□</w:t>
            </w:r>
            <w:r w:rsidRPr="006C4937">
              <w:rPr>
                <w:rFonts w:eastAsia="仿宋_GB2312" w:hint="eastAsia"/>
                <w:sz w:val="24"/>
              </w:rPr>
              <w:t xml:space="preserve"> </w:t>
            </w:r>
            <w:r w:rsidRPr="006C4937">
              <w:rPr>
                <w:rFonts w:eastAsia="仿宋_GB2312" w:hint="eastAsia"/>
                <w:sz w:val="24"/>
              </w:rPr>
              <w:t>委托试验单位</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b/>
                <w:bCs/>
                <w:kern w:val="0"/>
                <w:szCs w:val="21"/>
              </w:rPr>
            </w:pPr>
            <w:r w:rsidRPr="006C4937">
              <w:rPr>
                <w:rFonts w:eastAsia="仿宋_GB2312" w:hint="eastAsia"/>
                <w:b/>
                <w:bCs/>
                <w:kern w:val="0"/>
                <w:szCs w:val="21"/>
              </w:rPr>
              <w:t>序号</w:t>
            </w:r>
          </w:p>
        </w:tc>
        <w:tc>
          <w:tcPr>
            <w:tcW w:w="6740" w:type="dxa"/>
            <w:gridSpan w:val="10"/>
            <w:shd w:val="clear" w:color="auto" w:fill="auto"/>
            <w:vAlign w:val="center"/>
          </w:tcPr>
          <w:p w:rsidR="002B1727" w:rsidRPr="006C4937" w:rsidRDefault="002B1727" w:rsidP="00DF5093">
            <w:pPr>
              <w:widowControl/>
              <w:spacing w:line="320" w:lineRule="exact"/>
              <w:jc w:val="center"/>
              <w:rPr>
                <w:rFonts w:eastAsia="仿宋_GB2312"/>
                <w:b/>
                <w:bCs/>
                <w:kern w:val="0"/>
                <w:szCs w:val="21"/>
              </w:rPr>
            </w:pPr>
            <w:r w:rsidRPr="006C4937">
              <w:rPr>
                <w:rFonts w:eastAsia="仿宋_GB2312" w:hint="eastAsia"/>
                <w:b/>
                <w:bCs/>
                <w:kern w:val="0"/>
                <w:szCs w:val="21"/>
              </w:rPr>
              <w:t>现场核查要点</w:t>
            </w:r>
          </w:p>
        </w:tc>
        <w:tc>
          <w:tcPr>
            <w:tcW w:w="1840" w:type="dxa"/>
            <w:shd w:val="clear" w:color="auto" w:fill="auto"/>
            <w:vAlign w:val="center"/>
          </w:tcPr>
          <w:p w:rsidR="002B1727" w:rsidRPr="006C4937" w:rsidRDefault="002B1727" w:rsidP="00DF5093">
            <w:pPr>
              <w:widowControl/>
              <w:spacing w:line="320" w:lineRule="exact"/>
              <w:jc w:val="center"/>
              <w:rPr>
                <w:rFonts w:eastAsia="仿宋_GB2312"/>
                <w:b/>
                <w:bCs/>
                <w:kern w:val="0"/>
                <w:szCs w:val="21"/>
              </w:rPr>
            </w:pPr>
            <w:r w:rsidRPr="006C4937">
              <w:rPr>
                <w:rFonts w:eastAsia="仿宋_GB2312" w:hint="eastAsia"/>
                <w:b/>
                <w:bCs/>
                <w:kern w:val="0"/>
                <w:szCs w:val="21"/>
              </w:rPr>
              <w:t>判定结果</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一、临床前研究数据现场核查要点</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1</w:t>
            </w:r>
            <w:r w:rsidRPr="006C4937">
              <w:rPr>
                <w:rFonts w:eastAsia="仿宋_GB2312" w:hint="eastAsia"/>
                <w:b/>
                <w:bCs/>
                <w:kern w:val="0"/>
                <w:szCs w:val="21"/>
              </w:rPr>
              <w:t>．研究基本条件与合规性</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1.1</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研究机构</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1.1.1</w:t>
              </w:r>
            </w:smartTag>
          </w:p>
        </w:tc>
        <w:tc>
          <w:tcPr>
            <w:tcW w:w="6734" w:type="dxa"/>
            <w:gridSpan w:val="9"/>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应具有合法的研究资质。</w:t>
            </w:r>
          </w:p>
        </w:tc>
        <w:tc>
          <w:tcPr>
            <w:tcW w:w="1846" w:type="dxa"/>
            <w:gridSpan w:val="2"/>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1.1.2</w:t>
              </w:r>
            </w:smartTag>
          </w:p>
        </w:tc>
        <w:tc>
          <w:tcPr>
            <w:tcW w:w="6734" w:type="dxa"/>
            <w:gridSpan w:val="9"/>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证明性文件应与原件一致。</w:t>
            </w:r>
          </w:p>
        </w:tc>
        <w:tc>
          <w:tcPr>
            <w:tcW w:w="1846" w:type="dxa"/>
            <w:gridSpan w:val="2"/>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1.2</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研究人员的条件与合规性</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1.2.1</w:t>
              </w:r>
            </w:smartTag>
          </w:p>
        </w:tc>
        <w:tc>
          <w:tcPr>
            <w:tcW w:w="6734" w:type="dxa"/>
            <w:gridSpan w:val="9"/>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研究人员应具有相应的专业知识和背景。</w:t>
            </w:r>
          </w:p>
        </w:tc>
        <w:tc>
          <w:tcPr>
            <w:tcW w:w="1846" w:type="dxa"/>
            <w:gridSpan w:val="2"/>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1.2.2</w:t>
              </w:r>
            </w:smartTag>
          </w:p>
        </w:tc>
        <w:tc>
          <w:tcPr>
            <w:tcW w:w="6734" w:type="dxa"/>
            <w:gridSpan w:val="9"/>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研制人员应从事过该项研制工作，并与申报资料的记载一致。</w:t>
            </w:r>
          </w:p>
        </w:tc>
        <w:tc>
          <w:tcPr>
            <w:tcW w:w="1846" w:type="dxa"/>
            <w:gridSpan w:val="2"/>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研究条件</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1.3.1</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应具有与研究项目相适应的场所、设施（含实验动物）、设备和仪器。</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54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1.3.2</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开展兽用生物制品研发的，其生物安全条件应符合要求。</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1.3.3</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计量仪器应通过检定，主要仪器设备应校验合格，应具有使用记录，并与研究工作有对应关系。</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1.4</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研究记录与档案管理</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1.4.1</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研究记录应完整、清晰、规范，包含试验方案、主要原辅材料的来源与标准。</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lastRenderedPageBreak/>
                <w:t>1.4.2</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研究报告应包括材料与方法、试验过程和结果、讨论与原因分析、结论等具体内容。</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1.4.3</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试验数据、试验起止时间、地点、人员签名等应与申报资料一致。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1.4.4</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试验记录和研究档案应按所述地点存放。</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1.5</w:t>
            </w:r>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制度建立与管理</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p>
        </w:tc>
      </w:tr>
      <w:tr w:rsidR="002B1727" w:rsidRPr="006C4937" w:rsidTr="00DF5093">
        <w:trPr>
          <w:trHeight w:val="123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1.5.1</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生物安全管理、实验室管理、病原微生物、危险品及易制毒的管理、试验记录及归档管理等制度完善，并按制度执行。</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2</w:t>
            </w:r>
            <w:r w:rsidRPr="006C4937">
              <w:rPr>
                <w:rFonts w:eastAsia="仿宋_GB2312" w:hint="eastAsia"/>
                <w:b/>
                <w:bCs/>
                <w:kern w:val="0"/>
                <w:szCs w:val="21"/>
              </w:rPr>
              <w:t>．质量研究</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2.1</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菌（毒、虫）种的来源与鉴定</w:t>
            </w:r>
          </w:p>
        </w:tc>
      </w:tr>
      <w:tr w:rsidR="002B1727" w:rsidRPr="006C4937" w:rsidTr="00DF5093">
        <w:trPr>
          <w:trHeight w:val="123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2.1.1</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生物制品生产、检验用菌（毒、虫）种应具有合法来源，如为自己分离，应有详细完整的分离鉴定研究报告和试验记录。</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120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2.1.2</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所制备的生产、检验用菌（毒、虫）种基础种子批的库存情况应与其制备鉴定记录和鉴定报告相符，与申报资料一致。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2.2</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主要原辅材料资料的完整性</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2.2.1</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应有细胞、血清等主要原辅材料的研究报告和试验记录。</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2.2.2</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所制备的基础细胞库的库存情况应与其制备鉴定记录和鉴定报告相符，与申报资料一致。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2.3</w:t>
            </w:r>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用于质量研究的样品制备、检验等应与质量研究时间对应。</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2.4</w:t>
            </w:r>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外购原料药应具有合法来源、质量标准。</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2.5</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对照品</w:t>
            </w:r>
            <w:r w:rsidRPr="006C4937">
              <w:rPr>
                <w:rFonts w:eastAsia="仿宋_GB2312" w:hint="eastAsia"/>
                <w:kern w:val="0"/>
                <w:szCs w:val="21"/>
              </w:rPr>
              <w:t>/</w:t>
            </w:r>
            <w:r w:rsidRPr="006C4937">
              <w:rPr>
                <w:rFonts w:eastAsia="仿宋_GB2312" w:hint="eastAsia"/>
                <w:kern w:val="0"/>
                <w:szCs w:val="21"/>
              </w:rPr>
              <w:t>标准品的合法性</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2.5.1</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对照品</w:t>
            </w:r>
            <w:r w:rsidRPr="006C4937">
              <w:rPr>
                <w:rFonts w:eastAsia="仿宋_GB2312" w:hint="eastAsia"/>
                <w:kern w:val="0"/>
                <w:szCs w:val="21"/>
              </w:rPr>
              <w:t>/</w:t>
            </w:r>
            <w:r w:rsidRPr="006C4937">
              <w:rPr>
                <w:rFonts w:eastAsia="仿宋_GB2312" w:hint="eastAsia"/>
                <w:kern w:val="0"/>
                <w:szCs w:val="21"/>
              </w:rPr>
              <w:t>标准品、抗原与血清等应具有合法来源，如为自制，应具有完整的标化记录。</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2.5.2</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所制备的对照品</w:t>
            </w:r>
            <w:r w:rsidRPr="006C4937">
              <w:rPr>
                <w:rFonts w:eastAsia="仿宋_GB2312" w:hint="eastAsia"/>
                <w:kern w:val="0"/>
                <w:szCs w:val="21"/>
              </w:rPr>
              <w:t>/</w:t>
            </w:r>
            <w:r w:rsidRPr="006C4937">
              <w:rPr>
                <w:rFonts w:eastAsia="仿宋_GB2312" w:hint="eastAsia"/>
                <w:kern w:val="0"/>
                <w:szCs w:val="21"/>
              </w:rPr>
              <w:t>标准品等的库存情况应与其制备、标定记录和检测报告相符，与申报资料一致。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2.6</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质量研究项目的完整性</w:t>
            </w:r>
          </w:p>
        </w:tc>
      </w:tr>
      <w:tr w:rsidR="002B1727" w:rsidRPr="006C4937" w:rsidTr="00DF5093">
        <w:trPr>
          <w:trHeight w:val="123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2.6.1</w:t>
              </w:r>
            </w:smartTag>
          </w:p>
        </w:tc>
        <w:tc>
          <w:tcPr>
            <w:tcW w:w="6692"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质量研究各项目以及方法学内容应完整，各检验项目中应记录了所有的原始数据，数据格式应与所用的仪器设备匹配。</w:t>
            </w:r>
          </w:p>
        </w:tc>
        <w:tc>
          <w:tcPr>
            <w:tcW w:w="1888"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lastRenderedPageBreak/>
                <w:t>2.6.2</w:t>
              </w:r>
            </w:smartTag>
          </w:p>
        </w:tc>
        <w:tc>
          <w:tcPr>
            <w:tcW w:w="6692"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质量研究各项目（鉴别、检查、含量测定等）应具有实验记录、实验图谱及实验方法学考察内容。</w:t>
            </w:r>
          </w:p>
        </w:tc>
        <w:tc>
          <w:tcPr>
            <w:tcW w:w="1888"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2.7</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质量研究及稳定性研究实验图谱应可溯源</w:t>
            </w:r>
          </w:p>
        </w:tc>
      </w:tr>
      <w:tr w:rsidR="002B1727" w:rsidRPr="006C4937" w:rsidTr="00DF5093">
        <w:trPr>
          <w:trHeight w:val="163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2.7.1</w:t>
              </w:r>
            </w:smartTag>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IR</w:t>
            </w:r>
            <w:r w:rsidRPr="006C4937">
              <w:rPr>
                <w:rFonts w:eastAsia="仿宋_GB2312" w:hint="eastAsia"/>
                <w:kern w:val="0"/>
                <w:szCs w:val="21"/>
              </w:rPr>
              <w:t>、</w:t>
            </w:r>
            <w:r w:rsidRPr="006C4937">
              <w:rPr>
                <w:rFonts w:eastAsia="仿宋_GB2312" w:hint="eastAsia"/>
                <w:kern w:val="0"/>
                <w:szCs w:val="21"/>
              </w:rPr>
              <w:t>UV</w:t>
            </w:r>
            <w:r w:rsidRPr="006C4937">
              <w:rPr>
                <w:rFonts w:eastAsia="仿宋_GB2312" w:hint="eastAsia"/>
                <w:kern w:val="0"/>
                <w:szCs w:val="21"/>
              </w:rPr>
              <w:t>、</w:t>
            </w:r>
            <w:r w:rsidRPr="006C4937">
              <w:rPr>
                <w:rFonts w:eastAsia="仿宋_GB2312" w:hint="eastAsia"/>
                <w:kern w:val="0"/>
                <w:szCs w:val="21"/>
              </w:rPr>
              <w:t>HPLC</w:t>
            </w:r>
            <w:r w:rsidRPr="006C4937">
              <w:rPr>
                <w:rFonts w:eastAsia="仿宋_GB2312" w:hint="eastAsia"/>
                <w:kern w:val="0"/>
                <w:szCs w:val="21"/>
              </w:rPr>
              <w:t>、</w:t>
            </w:r>
            <w:r w:rsidRPr="006C4937">
              <w:rPr>
                <w:rFonts w:eastAsia="仿宋_GB2312" w:hint="eastAsia"/>
                <w:kern w:val="0"/>
                <w:szCs w:val="21"/>
              </w:rPr>
              <w:t>GC</w:t>
            </w:r>
            <w:r w:rsidRPr="006C4937">
              <w:rPr>
                <w:rFonts w:eastAsia="仿宋_GB2312" w:hint="eastAsia"/>
                <w:kern w:val="0"/>
                <w:szCs w:val="21"/>
              </w:rPr>
              <w:t>、</w:t>
            </w:r>
            <w:r w:rsidRPr="006C4937">
              <w:rPr>
                <w:rFonts w:eastAsia="仿宋_GB2312" w:hint="eastAsia"/>
                <w:kern w:val="0"/>
                <w:szCs w:val="21"/>
              </w:rPr>
              <w:t>ELISA</w:t>
            </w:r>
            <w:r w:rsidRPr="006C4937">
              <w:rPr>
                <w:rFonts w:eastAsia="仿宋_GB2312" w:hint="eastAsia"/>
                <w:kern w:val="0"/>
                <w:szCs w:val="21"/>
              </w:rPr>
              <w:t>、</w:t>
            </w:r>
            <w:r w:rsidRPr="006C4937">
              <w:rPr>
                <w:rFonts w:eastAsia="仿宋_GB2312" w:hint="eastAsia"/>
                <w:kern w:val="0"/>
                <w:szCs w:val="21"/>
              </w:rPr>
              <w:t>DNA</w:t>
            </w:r>
            <w:r w:rsidRPr="006C4937">
              <w:rPr>
                <w:rFonts w:eastAsia="仿宋_GB2312" w:hint="eastAsia"/>
                <w:kern w:val="0"/>
                <w:szCs w:val="21"/>
              </w:rPr>
              <w:t>测序、内切酶图谱、电泳等具数字信号处理系统打印的图谱应具有可追溯的关键信息（如带有存盘路径的图谱原始数据文件名和数据采集时间）。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2.7.2</w:t>
              </w:r>
            </w:smartTag>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各图谱的电子版应保存完好。</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2.7.3</w:t>
              </w:r>
            </w:smartTag>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需目视检查的项目（如薄层色谱、纸色谱、电泳等）应有照片或数码照相所得的电子文件。</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2.8</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质量研究及稳定性研究原始实验图谱应真实可信。</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2.9</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稳定性研究过程中各时间点的实验数据应合乎常规，原始记录数据与申报资料应一致。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3</w:t>
            </w:r>
            <w:r w:rsidRPr="006C4937">
              <w:rPr>
                <w:rFonts w:eastAsia="仿宋_GB2312" w:hint="eastAsia"/>
                <w:b/>
                <w:bCs/>
                <w:kern w:val="0"/>
                <w:szCs w:val="21"/>
              </w:rPr>
              <w:t>．委托研究</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3.1</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申请人委托其他部门或单位进行的研究、试制、检测等工作，应具有委托证明材料。</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3.2</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委托证明材料反映的委托单位、时间、项目及方案、结果等应与申报资料记载一致。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5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3.3</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被委托机构出具的报告书或图谱应是加盖其公章的原件。</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3.4</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必要时，可将现场核查延伸至被委托机构，以确证其研究条件和研究情况。</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4</w:t>
            </w:r>
            <w:r w:rsidRPr="006C4937">
              <w:rPr>
                <w:rFonts w:eastAsia="仿宋_GB2312" w:hint="eastAsia"/>
                <w:b/>
                <w:bCs/>
                <w:kern w:val="0"/>
                <w:szCs w:val="21"/>
              </w:rPr>
              <w:t>．实验动物及其场所</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4.1</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应具有实验所用动物的确切购入凭证。</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4.2</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实验动物购入时间和数量应与申报资料对应一致。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4.3</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购入实验动物的种系、等级、合格证号、个体特征等应与申报资料对应一致。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123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4.4</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实验动物的饲养单位应具备相应的资质，实验动物为本单位饲养繁殖的，应提供本单位具有饲养动物的资质证明及动物饲养繁殖的记录。</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4.5</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动物实验场所应满足试验规模、条件和要求以及生物安全要求。</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5</w:t>
            </w:r>
            <w:r w:rsidRPr="006C4937">
              <w:rPr>
                <w:rFonts w:eastAsia="仿宋_GB2312" w:hint="eastAsia"/>
                <w:b/>
                <w:bCs/>
                <w:kern w:val="0"/>
                <w:szCs w:val="21"/>
              </w:rPr>
              <w:t>．原始记录</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lastRenderedPageBreak/>
              <w:t>5.1</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各项实验原始记录应当真实、准确、完整、可追溯，并与申报资料一致。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5.2</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原始记录中的实验单位、实验地点、人员、日期、数据以及实验结果等应与申报资料一致。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5.3</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原始资料中供试品、对照品的配制、储存等记录完整，并与申报资料中反映的情况相对应。</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5.4</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原始图表（包括电子图表）和照片保存完整，并与申报资料一致。</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5.5</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组织病理切片、病理报告及病理试验记录保存完整并与申报资料一致；若病理照片为电子版，应保存完好。</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5.6</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生物制品生产检验用菌（毒、虫）种分离鉴定记录、试验记录应完整并归档。</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二、工艺研究及中间试制</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6</w:t>
            </w:r>
            <w:r w:rsidRPr="006C4937">
              <w:rPr>
                <w:rFonts w:eastAsia="仿宋_GB2312" w:hint="eastAsia"/>
                <w:b/>
                <w:bCs/>
                <w:kern w:val="0"/>
                <w:szCs w:val="21"/>
              </w:rPr>
              <w:t>．生产条件</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6.1</w:t>
            </w:r>
          </w:p>
        </w:tc>
        <w:tc>
          <w:tcPr>
            <w:tcW w:w="665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样品试制现场应具有与试制该样品相适应的场所、设备，并能满足样品生产的要求。</w:t>
            </w:r>
          </w:p>
        </w:tc>
        <w:tc>
          <w:tcPr>
            <w:tcW w:w="192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6.2</w:t>
            </w:r>
          </w:p>
        </w:tc>
        <w:tc>
          <w:tcPr>
            <w:tcW w:w="665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生产和检验等情况应符合《兽药生产质量管理规范》要求，生产批量与其实际生产条件和能力应匹配。</w:t>
            </w:r>
          </w:p>
        </w:tc>
        <w:tc>
          <w:tcPr>
            <w:tcW w:w="192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163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6.3</w:t>
            </w:r>
          </w:p>
        </w:tc>
        <w:tc>
          <w:tcPr>
            <w:tcW w:w="665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原料药、菌（毒、虫）种、原辅材料等样品试制所需的原辅料、菌（毒、虫）种、细胞、中药材及提取物、直接接触兽药的包装材料等应具有合法来源（如供货协议、发票、批准证明性文件复印件等）。</w:t>
            </w:r>
          </w:p>
        </w:tc>
        <w:tc>
          <w:tcPr>
            <w:tcW w:w="192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123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6.4</w:t>
            </w:r>
          </w:p>
        </w:tc>
        <w:tc>
          <w:tcPr>
            <w:tcW w:w="665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原辅材料应具有内控标准及自检报告书，购入时间或供货时间应与样品试制时间对应，购入量应满足样品试制的需求。</w:t>
            </w:r>
          </w:p>
        </w:tc>
        <w:tc>
          <w:tcPr>
            <w:tcW w:w="192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7.</w:t>
            </w:r>
            <w:r w:rsidRPr="006C4937">
              <w:rPr>
                <w:rFonts w:eastAsia="仿宋_GB2312" w:hint="eastAsia"/>
                <w:b/>
                <w:bCs/>
                <w:kern w:val="0"/>
                <w:szCs w:val="21"/>
              </w:rPr>
              <w:t>工艺研究方案与研究报告</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7.1</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工艺研究各项目以及方法学内容应完整。</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7.2</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各检验项目中应记录了所有的原始数据。</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7.3</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数据格式应与所用的仪器设备匹配。</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7.4</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工艺研究各项目应具有实验记录、实验图谱及实验方法学考察内容。</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8</w:t>
            </w:r>
            <w:r w:rsidRPr="006C4937">
              <w:rPr>
                <w:rFonts w:eastAsia="仿宋_GB2312" w:hint="eastAsia"/>
                <w:b/>
                <w:bCs/>
                <w:kern w:val="0"/>
                <w:szCs w:val="21"/>
              </w:rPr>
              <w:t>．批记录及检验报告</w:t>
            </w:r>
          </w:p>
        </w:tc>
      </w:tr>
      <w:tr w:rsidR="002B1727" w:rsidRPr="006C4937" w:rsidTr="00DF5093">
        <w:trPr>
          <w:trHeight w:val="55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lastRenderedPageBreak/>
              <w:t>8.1</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样品试制应建立制备记录或批生产记录和批检验记录。</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96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8.2</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记录项目及其内容应齐全，如试制时间、试制过程及相关关键工艺参数，应包括半成品检验、成品检验报告等。</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9</w:t>
            </w:r>
            <w:r w:rsidRPr="006C4937">
              <w:rPr>
                <w:rFonts w:eastAsia="仿宋_GB2312" w:hint="eastAsia"/>
                <w:b/>
                <w:bCs/>
                <w:kern w:val="0"/>
                <w:szCs w:val="21"/>
              </w:rPr>
              <w:t>．中间试制</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9.1</w:t>
            </w:r>
          </w:p>
        </w:tc>
        <w:tc>
          <w:tcPr>
            <w:tcW w:w="6662"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严格按照兽药</w:t>
            </w:r>
            <w:r w:rsidRPr="006C4937">
              <w:rPr>
                <w:rFonts w:eastAsia="仿宋_GB2312" w:hint="eastAsia"/>
                <w:kern w:val="0"/>
                <w:szCs w:val="21"/>
              </w:rPr>
              <w:t>GMP</w:t>
            </w:r>
            <w:r w:rsidRPr="006C4937">
              <w:rPr>
                <w:rFonts w:eastAsia="仿宋_GB2312" w:hint="eastAsia"/>
                <w:kern w:val="0"/>
                <w:szCs w:val="21"/>
              </w:rPr>
              <w:t>要求进行生产管理。</w:t>
            </w:r>
          </w:p>
        </w:tc>
        <w:tc>
          <w:tcPr>
            <w:tcW w:w="1918"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9.2</w:t>
            </w:r>
          </w:p>
        </w:tc>
        <w:tc>
          <w:tcPr>
            <w:tcW w:w="6662"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批生产记录应与申报工艺相对应。</w:t>
            </w:r>
          </w:p>
        </w:tc>
        <w:tc>
          <w:tcPr>
            <w:tcW w:w="1918"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9.3</w:t>
            </w:r>
          </w:p>
        </w:tc>
        <w:tc>
          <w:tcPr>
            <w:tcW w:w="6662"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批生产记录应与申报的质量标准相对应。</w:t>
            </w:r>
          </w:p>
        </w:tc>
        <w:tc>
          <w:tcPr>
            <w:tcW w:w="1918"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9.4</w:t>
            </w:r>
          </w:p>
        </w:tc>
        <w:tc>
          <w:tcPr>
            <w:tcW w:w="6662"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人员签名真实。</w:t>
            </w:r>
          </w:p>
        </w:tc>
        <w:tc>
          <w:tcPr>
            <w:tcW w:w="1918"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7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9.5</w:t>
            </w:r>
          </w:p>
        </w:tc>
        <w:tc>
          <w:tcPr>
            <w:tcW w:w="6662"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批生产检验记录和报告应按兽药</w:t>
            </w:r>
            <w:r w:rsidRPr="006C4937">
              <w:rPr>
                <w:rFonts w:eastAsia="仿宋_GB2312" w:hint="eastAsia"/>
                <w:kern w:val="0"/>
                <w:szCs w:val="21"/>
              </w:rPr>
              <w:t>GMP</w:t>
            </w:r>
            <w:r w:rsidRPr="006C4937">
              <w:rPr>
                <w:rFonts w:eastAsia="仿宋_GB2312" w:hint="eastAsia"/>
                <w:kern w:val="0"/>
                <w:szCs w:val="21"/>
              </w:rPr>
              <w:t>规定在中试企业归档。</w:t>
            </w:r>
          </w:p>
        </w:tc>
        <w:tc>
          <w:tcPr>
            <w:tcW w:w="1918"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10</w:t>
            </w:r>
            <w:r w:rsidRPr="006C4937">
              <w:rPr>
                <w:rFonts w:eastAsia="仿宋_GB2312" w:hint="eastAsia"/>
                <w:b/>
                <w:bCs/>
                <w:kern w:val="0"/>
                <w:szCs w:val="21"/>
              </w:rPr>
              <w:t>．中试产品</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10.1</w:t>
            </w:r>
          </w:p>
        </w:tc>
        <w:tc>
          <w:tcPr>
            <w:tcW w:w="6662"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中试产品应具有出入库记录。</w:t>
            </w:r>
          </w:p>
        </w:tc>
        <w:tc>
          <w:tcPr>
            <w:tcW w:w="1918"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10.2</w:t>
            </w:r>
          </w:p>
        </w:tc>
        <w:tc>
          <w:tcPr>
            <w:tcW w:w="6662"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产品试制量、库存量与使用量之间的关系对应一致。</w:t>
            </w:r>
          </w:p>
        </w:tc>
        <w:tc>
          <w:tcPr>
            <w:tcW w:w="1918"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10.3</w:t>
            </w:r>
          </w:p>
        </w:tc>
        <w:tc>
          <w:tcPr>
            <w:tcW w:w="6662"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试制产品的说明书、内包装标签、储存条件应符合要求。</w:t>
            </w:r>
          </w:p>
        </w:tc>
        <w:tc>
          <w:tcPr>
            <w:tcW w:w="1918"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10.4</w:t>
            </w:r>
          </w:p>
        </w:tc>
        <w:tc>
          <w:tcPr>
            <w:tcW w:w="6662" w:type="dxa"/>
            <w:gridSpan w:val="4"/>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尚在进行的长期稳定性研究应具有留样。</w:t>
            </w:r>
          </w:p>
        </w:tc>
        <w:tc>
          <w:tcPr>
            <w:tcW w:w="1918" w:type="dxa"/>
            <w:gridSpan w:val="7"/>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三、临床试验</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11</w:t>
            </w:r>
            <w:r w:rsidRPr="006C4937">
              <w:rPr>
                <w:rFonts w:eastAsia="仿宋_GB2312" w:hint="eastAsia"/>
                <w:b/>
                <w:bCs/>
                <w:kern w:val="0"/>
                <w:szCs w:val="21"/>
              </w:rPr>
              <w:t>．临床试验方案和试验条件</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11.1</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临床试验承担单位与人员应具备承担兽药临床试验的资格和条件。</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11.2</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应取得《兽药临床试验批件》。</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11.3</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应按照《兽药临床试验批件》批准的产品、时间、地点及实验方案开展临床实验。</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11.3.1</w:t>
              </w:r>
            </w:smartTag>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临床试验管理制度的制定与执行情况一致。</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11.3.2</w:t>
              </w:r>
            </w:smartTag>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试验人员应从事过该项研究工作，其承担的相应工作、研究时间应与原始记录和申报资料的记载一致。</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11.3.3</w:t>
              </w:r>
            </w:smartTag>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临床试验设备、仪器应与试验项目相适应，其设备型号、性能、使用记录等应与申报资料一致。</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幼圆" w:eastAsia="幼圆"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11.3.4</w:t>
              </w:r>
            </w:smartTag>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临床试验场所应从事过相关研究，其开展的工作、时间应与原始记录和申报资料的记载一致。</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11.3.5</w:t>
              </w:r>
            </w:smartTag>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动物、饲养管理、饲料等应具有确切凭证。</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ascii="宋体" w:hAnsi="宋体"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11.3.6</w:t>
              </w:r>
            </w:smartTag>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动物舍应具备开展相应动物试验的饲养条件。</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12</w:t>
            </w:r>
            <w:r w:rsidRPr="006C4937">
              <w:rPr>
                <w:rFonts w:eastAsia="仿宋_GB2312" w:hint="eastAsia"/>
                <w:b/>
                <w:bCs/>
                <w:kern w:val="0"/>
                <w:szCs w:val="21"/>
              </w:rPr>
              <w:t>．实验动物</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lastRenderedPageBreak/>
              <w:t>12.1</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购买的动物应具有购入的确切凭证。</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12.2</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使用养殖场或畜主的动物病例应有确切凭证。</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12.3</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使用实验动物时间和数量应与申报资料对应一致。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12.4</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使用实验动物的种系、个体特征等应与申报资料对应一致。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13</w:t>
            </w:r>
            <w:r w:rsidRPr="006C4937">
              <w:rPr>
                <w:rFonts w:eastAsia="仿宋_GB2312" w:hint="eastAsia"/>
                <w:b/>
                <w:bCs/>
                <w:kern w:val="0"/>
                <w:szCs w:val="21"/>
              </w:rPr>
              <w:t>．临床试验记录</w:t>
            </w:r>
          </w:p>
        </w:tc>
      </w:tr>
      <w:tr w:rsidR="002B1727" w:rsidRPr="006C4937" w:rsidTr="00DF5093">
        <w:trPr>
          <w:trHeight w:val="285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13.1</w:t>
            </w:r>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临床试验记录应包括：动物品种、年龄、来源和健康状况，动物分组，动物给药剂量、给药途径、给药期限、观察期限，动物观察、实验室检查、影像学检查、微生物学等检查记录，生物制品免疫接种记录、免疫攻毒记录、特异性和敏感性试验记录，统计学参数的确定和统计方法等，记录内容详实，统计结果与实验结论应与申报资料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13.2</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临床试验用兽药（包括对照兽药）</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13.2.1</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试验用兽药应具有省级以上检验机构出具的合格报告。</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13.2.2</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其批号与质量检验报告、临床试验报告、申报资料对应一致。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13.3</w:t>
            </w:r>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试验用兽药的出入库、接收、使用和回收应有原始记录。</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13.4</w:t>
            </w:r>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兽药的出入库数量、接收数量、使用数量及剩余数量之间的关系应对应一致。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13.5</w:t>
            </w:r>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试验用兽药的用法用量、使用总量应与试验原始记录、临床试验报告对应一致。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13.6</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临床试验数据的溯源</w:t>
            </w:r>
          </w:p>
        </w:tc>
      </w:tr>
      <w:tr w:rsidR="002B1727" w:rsidRPr="006C4937" w:rsidTr="00DF5093">
        <w:trPr>
          <w:trHeight w:val="123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13.6.1</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病例报告表（</w:t>
            </w:r>
            <w:r w:rsidRPr="006C4937">
              <w:rPr>
                <w:rFonts w:eastAsia="仿宋_GB2312" w:hint="eastAsia"/>
                <w:kern w:val="0"/>
                <w:szCs w:val="21"/>
              </w:rPr>
              <w:t>CRF</w:t>
            </w:r>
            <w:r w:rsidRPr="006C4937">
              <w:rPr>
                <w:rFonts w:eastAsia="仿宋_GB2312" w:hint="eastAsia"/>
                <w:kern w:val="0"/>
                <w:szCs w:val="21"/>
              </w:rPr>
              <w:t>）与原始资料（如：原始病历、实验室检查、影像学检查等检查的原始记录、微生物学检查原始记录等）以及申报资料应对应一致。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13.6.2</w:t>
              </w:r>
            </w:smartTag>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原始资料中的临床检查数据应能够溯源，必要时对临床检验部门进行核查，以核实临床检查数据的真实性。</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13.7</w:t>
            </w:r>
          </w:p>
        </w:tc>
        <w:tc>
          <w:tcPr>
            <w:tcW w:w="6704" w:type="dxa"/>
            <w:gridSpan w:val="8"/>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临床试验过程中应对发生严重不良事件（</w:t>
            </w:r>
            <w:r w:rsidRPr="006C4937">
              <w:rPr>
                <w:rFonts w:eastAsia="仿宋_GB2312" w:hint="eastAsia"/>
                <w:kern w:val="0"/>
                <w:szCs w:val="21"/>
              </w:rPr>
              <w:t>SAE</w:t>
            </w:r>
            <w:r w:rsidRPr="006C4937">
              <w:rPr>
                <w:rFonts w:eastAsia="仿宋_GB2312" w:hint="eastAsia"/>
                <w:kern w:val="0"/>
                <w:szCs w:val="21"/>
              </w:rPr>
              <w:t>）、合并用药情况进行记录，并与临床报告一致。</w:t>
            </w:r>
          </w:p>
        </w:tc>
        <w:tc>
          <w:tcPr>
            <w:tcW w:w="1876" w:type="dxa"/>
            <w:gridSpan w:val="3"/>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13.8</w:t>
            </w:r>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申报资料临床试验报告中完成临床试验的动物数与实际使用动物数应对应一致。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13.9</w:t>
            </w:r>
          </w:p>
        </w:tc>
        <w:tc>
          <w:tcPr>
            <w:tcW w:w="8580" w:type="dxa"/>
            <w:gridSpan w:val="11"/>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药代动力学与生物等效性试验中原始图谱的溯源</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lastRenderedPageBreak/>
                <w:t>13.9.1</w:t>
              </w:r>
            </w:smartTag>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药代动力学与生物等效性试验中原始图谱能够溯源。</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13.9.2</w:t>
              </w:r>
            </w:smartTag>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纸质图谱包含完整的信息，并与数据库中电子图谱一致。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13.9.3</w:t>
              </w:r>
            </w:smartTag>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原始图谱与数据应与临床试验总结报告对应一致。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13.9.4</w:t>
              </w:r>
            </w:smartTag>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进样时间</w:t>
            </w:r>
            <w:r w:rsidRPr="006C4937">
              <w:rPr>
                <w:rFonts w:eastAsia="仿宋_GB2312" w:hint="eastAsia"/>
                <w:kern w:val="0"/>
                <w:szCs w:val="21"/>
              </w:rPr>
              <w:t>(</w:t>
            </w:r>
            <w:r w:rsidRPr="006C4937">
              <w:rPr>
                <w:rFonts w:eastAsia="仿宋_GB2312" w:hint="eastAsia"/>
                <w:kern w:val="0"/>
                <w:szCs w:val="21"/>
              </w:rPr>
              <w:t>或采集时间</w:t>
            </w:r>
            <w:r w:rsidRPr="006C4937">
              <w:rPr>
                <w:rFonts w:eastAsia="仿宋_GB2312" w:hint="eastAsia"/>
                <w:kern w:val="0"/>
                <w:szCs w:val="21"/>
              </w:rPr>
              <w:t>)</w:t>
            </w:r>
            <w:r w:rsidRPr="006C4937">
              <w:rPr>
                <w:rFonts w:eastAsia="仿宋_GB2312" w:hint="eastAsia"/>
                <w:kern w:val="0"/>
                <w:szCs w:val="21"/>
              </w:rPr>
              <w:t>应与试验时间、仪器使用时间对应一致。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smartTag w:uri="urn:schemas-microsoft-com:office:smarttags" w:element="chsdate">
              <w:smartTagPr>
                <w:attr w:name="Year" w:val="1899"/>
                <w:attr w:name="Month" w:val="12"/>
                <w:attr w:name="Day" w:val="30"/>
                <w:attr w:name="IsLunarDate" w:val="False"/>
                <w:attr w:name="IsROCDate" w:val="False"/>
              </w:smartTagPr>
              <w:r w:rsidRPr="006C4937">
                <w:rPr>
                  <w:rFonts w:eastAsia="仿宋_GB2312" w:hint="eastAsia"/>
                  <w:kern w:val="0"/>
                  <w:szCs w:val="21"/>
                </w:rPr>
                <w:t>13.9.5</w:t>
              </w:r>
            </w:smartTag>
          </w:p>
        </w:tc>
        <w:tc>
          <w:tcPr>
            <w:tcW w:w="6686"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图谱记录的测试样品编号应与相应受试动物血液标本编号的记录对应一致。</w:t>
            </w:r>
          </w:p>
        </w:tc>
        <w:tc>
          <w:tcPr>
            <w:tcW w:w="1894"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符合</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不符合</w:t>
            </w:r>
          </w:p>
        </w:tc>
      </w:tr>
      <w:tr w:rsidR="002B1727" w:rsidRPr="006C4937" w:rsidTr="00DF5093">
        <w:trPr>
          <w:trHeight w:val="700"/>
        </w:trPr>
        <w:tc>
          <w:tcPr>
            <w:tcW w:w="9756" w:type="dxa"/>
            <w:gridSpan w:val="12"/>
            <w:shd w:val="clear" w:color="auto" w:fill="auto"/>
            <w:vAlign w:val="center"/>
          </w:tcPr>
          <w:p w:rsidR="002B1727" w:rsidRPr="006C4937" w:rsidRDefault="002B1727" w:rsidP="00DF5093">
            <w:pPr>
              <w:spacing w:line="320" w:lineRule="exact"/>
              <w:rPr>
                <w:rFonts w:eastAsia="仿宋_GB2312"/>
                <w:b/>
                <w:bCs/>
                <w:kern w:val="0"/>
                <w:szCs w:val="21"/>
              </w:rPr>
            </w:pPr>
            <w:r w:rsidRPr="006C4937">
              <w:rPr>
                <w:rFonts w:eastAsia="仿宋_GB2312" w:hint="eastAsia"/>
                <w:b/>
                <w:bCs/>
                <w:kern w:val="0"/>
                <w:szCs w:val="21"/>
              </w:rPr>
              <w:t>14</w:t>
            </w:r>
            <w:r w:rsidRPr="006C4937">
              <w:rPr>
                <w:rFonts w:eastAsia="仿宋_GB2312" w:hint="eastAsia"/>
                <w:b/>
                <w:bCs/>
                <w:kern w:val="0"/>
                <w:szCs w:val="21"/>
              </w:rPr>
              <w:t>．委托研究</w:t>
            </w:r>
            <w:r w:rsidRPr="006C4937">
              <w:rPr>
                <w:rFonts w:eastAsia="仿宋_GB2312" w:hint="eastAsia"/>
                <w:b/>
                <w:bCs/>
                <w:kern w:val="0"/>
                <w:szCs w:val="21"/>
              </w:rPr>
              <w:t xml:space="preserve">  </w:t>
            </w:r>
            <w:r w:rsidRPr="006C4937">
              <w:rPr>
                <w:rFonts w:eastAsia="仿宋_GB2312" w:hint="eastAsia"/>
                <w:kern w:val="0"/>
                <w:szCs w:val="21"/>
              </w:rPr>
              <w:t>按照本要点</w:t>
            </w:r>
            <w:r w:rsidRPr="006C4937">
              <w:rPr>
                <w:rFonts w:eastAsia="仿宋_GB2312" w:hint="eastAsia"/>
                <w:kern w:val="0"/>
                <w:szCs w:val="21"/>
              </w:rPr>
              <w:t>3.1-3.4</w:t>
            </w:r>
            <w:r w:rsidRPr="006C4937">
              <w:rPr>
                <w:rFonts w:eastAsia="仿宋_GB2312" w:hint="eastAsia"/>
                <w:kern w:val="0"/>
                <w:szCs w:val="21"/>
              </w:rPr>
              <w:t>和相关要点开展核查</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四、隐瞒情况的认定</w:t>
            </w:r>
          </w:p>
        </w:tc>
      </w:tr>
      <w:tr w:rsidR="002B1727" w:rsidRPr="006C4937" w:rsidTr="00DF5093">
        <w:trPr>
          <w:trHeight w:val="420"/>
        </w:trPr>
        <w:tc>
          <w:tcPr>
            <w:tcW w:w="9756" w:type="dxa"/>
            <w:gridSpan w:val="12"/>
            <w:shd w:val="clear" w:color="auto" w:fill="auto"/>
            <w:vAlign w:val="center"/>
          </w:tcPr>
          <w:p w:rsidR="002B1727" w:rsidRPr="006C4937" w:rsidRDefault="002B1727" w:rsidP="00DF5093">
            <w:pPr>
              <w:widowControl/>
              <w:spacing w:line="320" w:lineRule="exact"/>
              <w:rPr>
                <w:rFonts w:eastAsia="仿宋_GB2312"/>
                <w:b/>
                <w:bCs/>
                <w:kern w:val="0"/>
                <w:szCs w:val="21"/>
              </w:rPr>
            </w:pPr>
            <w:r w:rsidRPr="006C4937">
              <w:rPr>
                <w:rFonts w:eastAsia="仿宋_GB2312" w:hint="eastAsia"/>
                <w:b/>
                <w:bCs/>
                <w:kern w:val="0"/>
                <w:szCs w:val="21"/>
              </w:rPr>
              <w:t>15.</w:t>
            </w:r>
            <w:r w:rsidRPr="006C4937">
              <w:rPr>
                <w:rFonts w:eastAsia="仿宋_GB2312" w:hint="eastAsia"/>
                <w:b/>
                <w:bCs/>
                <w:kern w:val="0"/>
                <w:szCs w:val="21"/>
              </w:rPr>
              <w:t>出现下列情况，视为隐瞒情况</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15.1</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拖延、限制、拒绝检查人员进入被检查场所或者区域的，或者限制检查时间的。</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是</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否</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15.2</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无正当理由不提供或者规定时间内未提供与检查相关的文件、记录、票据、凭证、电子数据等材料的。</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是</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否</w:t>
            </w:r>
          </w:p>
        </w:tc>
      </w:tr>
      <w:tr w:rsidR="002B1727" w:rsidRPr="006C4937" w:rsidTr="00DF5093">
        <w:trPr>
          <w:trHeight w:val="825"/>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15.3</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以声称相关人员不在</w:t>
            </w:r>
            <w:r w:rsidRPr="006C4937">
              <w:rPr>
                <w:rFonts w:eastAsia="仿宋_GB2312" w:hint="eastAsia"/>
                <w:kern w:val="0"/>
                <w:szCs w:val="21"/>
              </w:rPr>
              <w:t>,</w:t>
            </w:r>
            <w:r w:rsidRPr="006C4937">
              <w:rPr>
                <w:rFonts w:eastAsia="仿宋_GB2312" w:hint="eastAsia"/>
                <w:kern w:val="0"/>
                <w:szCs w:val="21"/>
              </w:rPr>
              <w:t>故意停止经营等方式欺骗、误导、逃避检查的。</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宋体" w:hAnsi="宋体"/>
                <w:kern w:val="0"/>
                <w:szCs w:val="21"/>
              </w:rPr>
              <w:t>□</w:t>
            </w:r>
            <w:r w:rsidRPr="006C4937">
              <w:rPr>
                <w:rFonts w:eastAsia="仿宋_GB2312" w:hint="eastAsia"/>
                <w:kern w:val="0"/>
                <w:szCs w:val="21"/>
              </w:rPr>
              <w:t>是</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否</w:t>
            </w:r>
          </w:p>
        </w:tc>
      </w:tr>
      <w:tr w:rsidR="002B1727" w:rsidRPr="006C4937" w:rsidTr="00DF5093">
        <w:trPr>
          <w:trHeight w:val="42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15.4</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拒绝或者限制拍摄、复印、抽样等取证工作的。</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kern w:val="0"/>
                <w:szCs w:val="21"/>
              </w:rPr>
              <w:t>□</w:t>
            </w:r>
            <w:r w:rsidRPr="006C4937">
              <w:rPr>
                <w:rFonts w:eastAsia="仿宋_GB2312" w:hint="eastAsia"/>
                <w:kern w:val="0"/>
                <w:szCs w:val="21"/>
              </w:rPr>
              <w:t>是</w:t>
            </w:r>
            <w:r w:rsidRPr="006C4937">
              <w:rPr>
                <w:rFonts w:eastAsia="仿宋_GB2312" w:hint="eastAsia"/>
                <w:kern w:val="0"/>
                <w:szCs w:val="21"/>
              </w:rPr>
              <w:t xml:space="preserve">    </w:t>
            </w:r>
            <w:r w:rsidRPr="006C4937">
              <w:rPr>
                <w:rFonts w:ascii="宋体" w:hAnsi="宋体"/>
                <w:kern w:val="0"/>
                <w:szCs w:val="21"/>
              </w:rPr>
              <w:t>□</w:t>
            </w:r>
            <w:r w:rsidRPr="006C4937">
              <w:rPr>
                <w:rFonts w:eastAsia="仿宋_GB2312" w:hint="eastAsia"/>
                <w:kern w:val="0"/>
                <w:szCs w:val="21"/>
              </w:rPr>
              <w:t>否</w:t>
            </w:r>
          </w:p>
        </w:tc>
      </w:tr>
      <w:tr w:rsidR="002B1727" w:rsidRPr="006C4937" w:rsidTr="00DF5093">
        <w:trPr>
          <w:trHeight w:val="550"/>
        </w:trPr>
        <w:tc>
          <w:tcPr>
            <w:tcW w:w="1176" w:type="dxa"/>
            <w:shd w:val="clear" w:color="auto" w:fill="auto"/>
            <w:vAlign w:val="center"/>
          </w:tcPr>
          <w:p w:rsidR="002B1727" w:rsidRPr="006C4937" w:rsidRDefault="002B1727" w:rsidP="00DF5093">
            <w:pPr>
              <w:widowControl/>
              <w:spacing w:line="320" w:lineRule="exact"/>
              <w:jc w:val="center"/>
              <w:rPr>
                <w:rFonts w:eastAsia="仿宋_GB2312"/>
                <w:kern w:val="0"/>
                <w:szCs w:val="21"/>
              </w:rPr>
            </w:pPr>
            <w:r w:rsidRPr="006C4937">
              <w:rPr>
                <w:rFonts w:eastAsia="仿宋_GB2312" w:hint="eastAsia"/>
                <w:kern w:val="0"/>
                <w:szCs w:val="21"/>
              </w:rPr>
              <w:t>15.5</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eastAsia="仿宋_GB2312" w:hint="eastAsia"/>
                <w:kern w:val="0"/>
                <w:szCs w:val="21"/>
              </w:rPr>
              <w:t>其他不配合检查的情形。</w:t>
            </w:r>
          </w:p>
        </w:tc>
        <w:tc>
          <w:tcPr>
            <w:tcW w:w="1905" w:type="dxa"/>
            <w:gridSpan w:val="6"/>
            <w:shd w:val="clear" w:color="auto" w:fill="auto"/>
            <w:vAlign w:val="center"/>
          </w:tcPr>
          <w:p w:rsidR="002B1727" w:rsidRPr="006C4937" w:rsidRDefault="002B1727" w:rsidP="00DF5093">
            <w:pPr>
              <w:widowControl/>
              <w:spacing w:line="320" w:lineRule="exact"/>
              <w:rPr>
                <w:rFonts w:eastAsia="仿宋_GB2312"/>
                <w:kern w:val="0"/>
                <w:szCs w:val="21"/>
              </w:rPr>
            </w:pPr>
            <w:r w:rsidRPr="006C4937">
              <w:rPr>
                <w:rFonts w:ascii="幼圆" w:eastAsia="幼圆"/>
                <w:kern w:val="0"/>
                <w:szCs w:val="21"/>
              </w:rPr>
              <w:t>□</w:t>
            </w:r>
            <w:r w:rsidRPr="006C4937">
              <w:rPr>
                <w:rFonts w:eastAsia="仿宋_GB2312" w:hint="eastAsia"/>
                <w:kern w:val="0"/>
                <w:szCs w:val="21"/>
              </w:rPr>
              <w:t>是</w:t>
            </w:r>
            <w:r w:rsidRPr="006C4937">
              <w:rPr>
                <w:rFonts w:eastAsia="仿宋_GB2312" w:hint="eastAsia"/>
                <w:kern w:val="0"/>
                <w:szCs w:val="21"/>
              </w:rPr>
              <w:t xml:space="preserve">    </w:t>
            </w:r>
            <w:r w:rsidRPr="006C4937">
              <w:rPr>
                <w:rFonts w:ascii="幼圆" w:eastAsia="幼圆"/>
                <w:kern w:val="0"/>
                <w:szCs w:val="21"/>
              </w:rPr>
              <w:t>□</w:t>
            </w:r>
            <w:r w:rsidRPr="006C4937">
              <w:rPr>
                <w:rFonts w:eastAsia="仿宋_GB2312" w:hint="eastAsia"/>
                <w:kern w:val="0"/>
                <w:szCs w:val="21"/>
              </w:rPr>
              <w:t>否</w:t>
            </w:r>
          </w:p>
        </w:tc>
      </w:tr>
      <w:tr w:rsidR="002B1727" w:rsidRPr="006C4937" w:rsidTr="00DF5093">
        <w:trPr>
          <w:trHeight w:val="3430"/>
        </w:trPr>
        <w:tc>
          <w:tcPr>
            <w:tcW w:w="1176" w:type="dxa"/>
            <w:shd w:val="clear" w:color="auto" w:fill="auto"/>
            <w:vAlign w:val="center"/>
          </w:tcPr>
          <w:p w:rsidR="002B1727" w:rsidRPr="006C4937" w:rsidRDefault="002B1727" w:rsidP="00DF5093">
            <w:pPr>
              <w:widowControl/>
              <w:spacing w:line="320" w:lineRule="exact"/>
              <w:rPr>
                <w:rFonts w:eastAsia="仿宋_GB2312" w:hint="eastAsia"/>
                <w:kern w:val="0"/>
                <w:szCs w:val="21"/>
              </w:rPr>
            </w:pPr>
            <w:r w:rsidRPr="006C4937">
              <w:rPr>
                <w:rFonts w:eastAsia="仿宋_GB2312" w:hint="eastAsia"/>
                <w:kern w:val="0"/>
                <w:szCs w:val="21"/>
              </w:rPr>
              <w:t>其他需说明的情况</w:t>
            </w:r>
          </w:p>
        </w:tc>
        <w:tc>
          <w:tcPr>
            <w:tcW w:w="6675" w:type="dxa"/>
            <w:gridSpan w:val="5"/>
            <w:shd w:val="clear" w:color="auto" w:fill="auto"/>
            <w:vAlign w:val="center"/>
          </w:tcPr>
          <w:p w:rsidR="002B1727" w:rsidRPr="006C4937" w:rsidRDefault="002B1727" w:rsidP="00DF5093">
            <w:pPr>
              <w:widowControl/>
              <w:spacing w:line="320" w:lineRule="exact"/>
              <w:rPr>
                <w:rFonts w:eastAsia="仿宋_GB2312" w:hint="eastAsia"/>
                <w:kern w:val="0"/>
                <w:szCs w:val="21"/>
              </w:rPr>
            </w:pPr>
          </w:p>
          <w:p w:rsidR="002B1727" w:rsidRPr="006C4937" w:rsidRDefault="002B1727" w:rsidP="00DF5093">
            <w:pPr>
              <w:widowControl/>
              <w:spacing w:line="320" w:lineRule="exact"/>
              <w:rPr>
                <w:rFonts w:eastAsia="仿宋_GB2312" w:hint="eastAsia"/>
                <w:kern w:val="0"/>
                <w:szCs w:val="21"/>
              </w:rPr>
            </w:pPr>
          </w:p>
          <w:p w:rsidR="002B1727" w:rsidRPr="006C4937" w:rsidRDefault="002B1727" w:rsidP="00DF5093">
            <w:pPr>
              <w:widowControl/>
              <w:spacing w:line="320" w:lineRule="exact"/>
              <w:rPr>
                <w:rFonts w:eastAsia="仿宋_GB2312" w:hint="eastAsia"/>
                <w:kern w:val="0"/>
                <w:szCs w:val="21"/>
              </w:rPr>
            </w:pPr>
          </w:p>
          <w:p w:rsidR="002B1727" w:rsidRPr="006C4937" w:rsidRDefault="002B1727" w:rsidP="00DF5093">
            <w:pPr>
              <w:widowControl/>
              <w:spacing w:line="320" w:lineRule="exact"/>
              <w:rPr>
                <w:rFonts w:eastAsia="仿宋_GB2312" w:hint="eastAsia"/>
                <w:kern w:val="0"/>
                <w:szCs w:val="21"/>
              </w:rPr>
            </w:pPr>
          </w:p>
          <w:p w:rsidR="002B1727" w:rsidRPr="006C4937" w:rsidRDefault="002B1727" w:rsidP="00DF5093">
            <w:pPr>
              <w:widowControl/>
              <w:spacing w:line="320" w:lineRule="exact"/>
              <w:rPr>
                <w:rFonts w:eastAsia="仿宋_GB2312" w:hint="eastAsia"/>
                <w:kern w:val="0"/>
                <w:szCs w:val="21"/>
              </w:rPr>
            </w:pPr>
          </w:p>
          <w:p w:rsidR="002B1727" w:rsidRPr="006C4937" w:rsidRDefault="002B1727" w:rsidP="00DF5093">
            <w:pPr>
              <w:widowControl/>
              <w:spacing w:line="320" w:lineRule="exact"/>
              <w:rPr>
                <w:rFonts w:eastAsia="仿宋_GB2312" w:hint="eastAsia"/>
                <w:kern w:val="0"/>
                <w:szCs w:val="21"/>
              </w:rPr>
            </w:pPr>
          </w:p>
        </w:tc>
        <w:tc>
          <w:tcPr>
            <w:tcW w:w="1905" w:type="dxa"/>
            <w:gridSpan w:val="6"/>
            <w:shd w:val="clear" w:color="auto" w:fill="auto"/>
            <w:vAlign w:val="center"/>
          </w:tcPr>
          <w:p w:rsidR="002B1727" w:rsidRPr="006C4937" w:rsidRDefault="002B1727" w:rsidP="00DF5093">
            <w:pPr>
              <w:widowControl/>
              <w:spacing w:line="320" w:lineRule="exact"/>
              <w:rPr>
                <w:rFonts w:eastAsia="仿宋_GB2312" w:hint="eastAsia"/>
                <w:kern w:val="0"/>
                <w:szCs w:val="21"/>
              </w:rPr>
            </w:pPr>
          </w:p>
        </w:tc>
      </w:tr>
      <w:tr w:rsidR="002B1727" w:rsidRPr="006C4937" w:rsidTr="00DF5093">
        <w:trPr>
          <w:trHeight w:val="1120"/>
        </w:trPr>
        <w:tc>
          <w:tcPr>
            <w:tcW w:w="1176" w:type="dxa"/>
            <w:shd w:val="clear" w:color="auto" w:fill="auto"/>
            <w:vAlign w:val="center"/>
          </w:tcPr>
          <w:p w:rsidR="002B1727" w:rsidRPr="006C4937" w:rsidRDefault="002B1727" w:rsidP="00DF5093">
            <w:pPr>
              <w:spacing w:line="320" w:lineRule="exact"/>
              <w:rPr>
                <w:rFonts w:eastAsia="仿宋_GB2312" w:hint="eastAsia"/>
                <w:kern w:val="0"/>
                <w:szCs w:val="21"/>
              </w:rPr>
            </w:pPr>
            <w:r>
              <w:rPr>
                <w:rFonts w:eastAsia="仿宋_GB2312" w:hint="eastAsia"/>
                <w:kern w:val="0"/>
                <w:szCs w:val="21"/>
              </w:rPr>
              <w:t>核</w:t>
            </w:r>
            <w:r w:rsidRPr="006C4937">
              <w:rPr>
                <w:rFonts w:eastAsia="仿宋_GB2312" w:hint="eastAsia"/>
                <w:kern w:val="0"/>
                <w:szCs w:val="21"/>
              </w:rPr>
              <w:t>查组长签</w:t>
            </w:r>
            <w:r>
              <w:rPr>
                <w:rFonts w:eastAsia="仿宋_GB2312" w:hint="eastAsia"/>
                <w:kern w:val="0"/>
                <w:szCs w:val="21"/>
              </w:rPr>
              <w:t>名</w:t>
            </w:r>
          </w:p>
        </w:tc>
        <w:tc>
          <w:tcPr>
            <w:tcW w:w="2670" w:type="dxa"/>
            <w:shd w:val="clear" w:color="auto" w:fill="auto"/>
            <w:vAlign w:val="center"/>
          </w:tcPr>
          <w:p w:rsidR="002B1727" w:rsidRPr="006C4937" w:rsidRDefault="002B1727" w:rsidP="00DF5093">
            <w:pPr>
              <w:spacing w:line="320" w:lineRule="exact"/>
              <w:rPr>
                <w:rFonts w:eastAsia="仿宋_GB2312" w:hint="eastAsia"/>
                <w:kern w:val="0"/>
                <w:szCs w:val="21"/>
              </w:rPr>
            </w:pPr>
          </w:p>
        </w:tc>
        <w:tc>
          <w:tcPr>
            <w:tcW w:w="1690" w:type="dxa"/>
            <w:shd w:val="clear" w:color="auto" w:fill="auto"/>
            <w:vAlign w:val="center"/>
          </w:tcPr>
          <w:p w:rsidR="002B1727" w:rsidRPr="006C4937" w:rsidRDefault="002B1727" w:rsidP="00DF5093">
            <w:pPr>
              <w:spacing w:line="320" w:lineRule="exact"/>
              <w:rPr>
                <w:rFonts w:eastAsia="仿宋_GB2312" w:hint="eastAsia"/>
                <w:kern w:val="0"/>
                <w:szCs w:val="21"/>
              </w:rPr>
            </w:pPr>
            <w:r>
              <w:rPr>
                <w:rFonts w:eastAsia="仿宋_GB2312" w:hint="eastAsia"/>
                <w:kern w:val="0"/>
                <w:szCs w:val="21"/>
              </w:rPr>
              <w:t>核</w:t>
            </w:r>
            <w:r w:rsidRPr="006C4937">
              <w:rPr>
                <w:rFonts w:eastAsia="仿宋_GB2312" w:hint="eastAsia"/>
                <w:kern w:val="0"/>
                <w:szCs w:val="21"/>
              </w:rPr>
              <w:t>查组员签</w:t>
            </w:r>
            <w:r>
              <w:rPr>
                <w:rFonts w:eastAsia="仿宋_GB2312" w:hint="eastAsia"/>
                <w:kern w:val="0"/>
                <w:szCs w:val="21"/>
              </w:rPr>
              <w:t>名</w:t>
            </w:r>
          </w:p>
        </w:tc>
        <w:tc>
          <w:tcPr>
            <w:tcW w:w="4220" w:type="dxa"/>
            <w:gridSpan w:val="9"/>
            <w:shd w:val="clear" w:color="auto" w:fill="auto"/>
            <w:vAlign w:val="center"/>
          </w:tcPr>
          <w:p w:rsidR="002B1727" w:rsidRPr="006C4937" w:rsidRDefault="002B1727" w:rsidP="00DF5093">
            <w:pPr>
              <w:widowControl/>
              <w:spacing w:line="320" w:lineRule="exact"/>
              <w:rPr>
                <w:rFonts w:eastAsia="仿宋_GB2312" w:hint="eastAsia"/>
                <w:kern w:val="0"/>
                <w:szCs w:val="21"/>
              </w:rPr>
            </w:pPr>
          </w:p>
        </w:tc>
      </w:tr>
      <w:tr w:rsidR="002B1727" w:rsidRPr="006C4937" w:rsidTr="00DF5093">
        <w:trPr>
          <w:trHeight w:val="1043"/>
        </w:trPr>
        <w:tc>
          <w:tcPr>
            <w:tcW w:w="3846" w:type="dxa"/>
            <w:gridSpan w:val="2"/>
            <w:shd w:val="clear" w:color="auto" w:fill="auto"/>
            <w:vAlign w:val="center"/>
          </w:tcPr>
          <w:p w:rsidR="002B1727" w:rsidRPr="006C4937" w:rsidRDefault="002B1727" w:rsidP="00DF5093">
            <w:pPr>
              <w:spacing w:line="320" w:lineRule="exact"/>
              <w:rPr>
                <w:rFonts w:eastAsia="仿宋_GB2312" w:hint="eastAsia"/>
                <w:kern w:val="0"/>
                <w:szCs w:val="21"/>
              </w:rPr>
            </w:pPr>
            <w:r w:rsidRPr="006C4937">
              <w:rPr>
                <w:rFonts w:eastAsia="仿宋_GB2312" w:hint="eastAsia"/>
                <w:kern w:val="0"/>
                <w:szCs w:val="21"/>
              </w:rPr>
              <w:t>被核查单位负责人签</w:t>
            </w:r>
            <w:r>
              <w:rPr>
                <w:rFonts w:eastAsia="仿宋_GB2312" w:hint="eastAsia"/>
                <w:kern w:val="0"/>
                <w:szCs w:val="21"/>
              </w:rPr>
              <w:t>名</w:t>
            </w:r>
          </w:p>
        </w:tc>
        <w:tc>
          <w:tcPr>
            <w:tcW w:w="5910" w:type="dxa"/>
            <w:gridSpan w:val="10"/>
            <w:shd w:val="clear" w:color="auto" w:fill="auto"/>
            <w:vAlign w:val="bottom"/>
          </w:tcPr>
          <w:p w:rsidR="002B1727" w:rsidRPr="006C4937" w:rsidRDefault="002B1727" w:rsidP="00DF5093">
            <w:pPr>
              <w:widowControl/>
              <w:spacing w:line="320" w:lineRule="exact"/>
              <w:jc w:val="right"/>
              <w:rPr>
                <w:rFonts w:eastAsia="仿宋_GB2312" w:hint="eastAsia"/>
                <w:kern w:val="0"/>
                <w:szCs w:val="21"/>
              </w:rPr>
            </w:pPr>
            <w:r w:rsidRPr="006C4937">
              <w:rPr>
                <w:rFonts w:eastAsia="仿宋_GB2312" w:hint="eastAsia"/>
                <w:kern w:val="0"/>
                <w:szCs w:val="21"/>
              </w:rPr>
              <w:t xml:space="preserve">                                           </w:t>
            </w:r>
            <w:r w:rsidRPr="006C4937">
              <w:rPr>
                <w:rFonts w:eastAsia="仿宋_GB2312" w:hint="eastAsia"/>
                <w:kern w:val="0"/>
                <w:szCs w:val="21"/>
              </w:rPr>
              <w:t>年</w:t>
            </w:r>
            <w:r w:rsidRPr="006C4937">
              <w:rPr>
                <w:rFonts w:eastAsia="仿宋_GB2312" w:hint="eastAsia"/>
                <w:kern w:val="0"/>
                <w:szCs w:val="21"/>
              </w:rPr>
              <w:t xml:space="preserve">  </w:t>
            </w:r>
            <w:r w:rsidRPr="006C4937">
              <w:rPr>
                <w:rFonts w:eastAsia="仿宋_GB2312" w:hint="eastAsia"/>
                <w:kern w:val="0"/>
                <w:szCs w:val="21"/>
              </w:rPr>
              <w:t>月</w:t>
            </w:r>
            <w:r w:rsidRPr="006C4937">
              <w:rPr>
                <w:rFonts w:eastAsia="仿宋_GB2312" w:hint="eastAsia"/>
                <w:kern w:val="0"/>
                <w:szCs w:val="21"/>
              </w:rPr>
              <w:t xml:space="preserve">  </w:t>
            </w:r>
            <w:r w:rsidRPr="006C4937">
              <w:rPr>
                <w:rFonts w:eastAsia="仿宋_GB2312" w:hint="eastAsia"/>
                <w:kern w:val="0"/>
                <w:szCs w:val="21"/>
              </w:rPr>
              <w:t>日</w:t>
            </w:r>
          </w:p>
        </w:tc>
      </w:tr>
    </w:tbl>
    <w:p w:rsidR="002B1727" w:rsidRPr="006C4937" w:rsidRDefault="002B1727" w:rsidP="002B1727">
      <w:pPr>
        <w:widowControl/>
        <w:jc w:val="left"/>
        <w:rPr>
          <w:rFonts w:ascii="仿宋_GB2312" w:eastAsia="仿宋_GB2312" w:hAnsi="宋体"/>
          <w:szCs w:val="32"/>
        </w:rPr>
      </w:pPr>
    </w:p>
    <w:p w:rsidR="002B1727" w:rsidRPr="006C4937" w:rsidRDefault="002B1727" w:rsidP="002B1727">
      <w:pPr>
        <w:rPr>
          <w:rFonts w:ascii="黑体" w:eastAsia="黑体" w:hAnsi="黑体"/>
          <w:sz w:val="32"/>
          <w:szCs w:val="32"/>
        </w:rPr>
      </w:pPr>
      <w:r>
        <w:rPr>
          <w:rFonts w:ascii="仿宋_GB2312" w:eastAsia="仿宋_GB2312" w:hAnsi="宋体" w:hint="eastAsia"/>
          <w:szCs w:val="32"/>
        </w:rPr>
        <w:lastRenderedPageBreak/>
        <w:t>注：不适用的检查项目，在填表时请予以标注。</w:t>
      </w:r>
    </w:p>
    <w:p w:rsidR="00B03F8F" w:rsidRDefault="00B03F8F"/>
    <w:sectPr w:rsidR="00B03F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F8F" w:rsidRDefault="00B03F8F" w:rsidP="002B1727">
      <w:r>
        <w:separator/>
      </w:r>
    </w:p>
  </w:endnote>
  <w:endnote w:type="continuationSeparator" w:id="1">
    <w:p w:rsidR="00B03F8F" w:rsidRDefault="00B03F8F" w:rsidP="002B1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F8F" w:rsidRDefault="00B03F8F" w:rsidP="002B1727">
      <w:r>
        <w:separator/>
      </w:r>
    </w:p>
  </w:footnote>
  <w:footnote w:type="continuationSeparator" w:id="1">
    <w:p w:rsidR="00B03F8F" w:rsidRDefault="00B03F8F" w:rsidP="002B1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1727"/>
    <w:rsid w:val="002B1727"/>
    <w:rsid w:val="00B03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7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B17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B1727"/>
    <w:rPr>
      <w:sz w:val="18"/>
      <w:szCs w:val="18"/>
    </w:rPr>
  </w:style>
  <w:style w:type="paragraph" w:styleId="a4">
    <w:name w:val="footer"/>
    <w:basedOn w:val="a"/>
    <w:link w:val="Char0"/>
    <w:uiPriority w:val="99"/>
    <w:semiHidden/>
    <w:unhideWhenUsed/>
    <w:rsid w:val="002B17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B172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畜牧兽医局信息发布专机</dc:creator>
  <cp:keywords/>
  <dc:description/>
  <cp:lastModifiedBy>畜牧兽医局信息发布专机</cp:lastModifiedBy>
  <cp:revision>2</cp:revision>
  <dcterms:created xsi:type="dcterms:W3CDTF">2019-03-18T07:53:00Z</dcterms:created>
  <dcterms:modified xsi:type="dcterms:W3CDTF">2019-03-18T07:53:00Z</dcterms:modified>
</cp:coreProperties>
</file>